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F3C6" w14:textId="77777777" w:rsidR="008F6E2D" w:rsidRPr="00845725" w:rsidRDefault="008F6E2D" w:rsidP="008F6E2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38"/>
      <w:r w:rsidRPr="00845725">
        <w:rPr>
          <w:rFonts w:ascii="Times New Roman" w:eastAsia="Calibri" w:hAnsi="Times New Roman" w:cs="Times New Roman"/>
          <w:b/>
          <w:bCs/>
          <w:kern w:val="0"/>
          <w14:ligatures w14:val="none"/>
        </w:rPr>
        <w:t xml:space="preserve">17.8 Copyright Interests—Authorship </w:t>
      </w:r>
      <w:r w:rsidRPr="00845725">
        <w:rPr>
          <w:rFonts w:ascii="Times New Roman" w:eastAsia="Calibri" w:hAnsi="Times New Roman" w:cs="Times New Roman"/>
          <w:b/>
          <w:bCs/>
          <w:kern w:val="0"/>
          <w14:ligatures w14:val="none"/>
        </w:rPr>
        <w:br/>
        <w:t>(17 U.S.C. § 201(a))</w:t>
      </w:r>
      <w:bookmarkEnd w:id="0"/>
    </w:p>
    <w:p w14:paraId="1329B1B9"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4193C1ED"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The creator of an original work is called the author of that work. An author originates or “masterminds” the original work, controlling the whole work’s creation and causing it to come into being.</w:t>
      </w:r>
    </w:p>
    <w:p w14:paraId="5C837205"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39BA0A40"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31280A53"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6820DA28" w14:textId="77777777" w:rsidR="008F6E2D" w:rsidRPr="00845725" w:rsidRDefault="008F6E2D" w:rsidP="008F6E2D">
      <w:pPr>
        <w:autoSpaceDE w:val="0"/>
        <w:autoSpaceDN w:val="0"/>
        <w:adjustRightInd w:val="0"/>
        <w:spacing w:after="0" w:line="240" w:lineRule="auto"/>
        <w:jc w:val="center"/>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Comment</w:t>
      </w:r>
    </w:p>
    <w:p w14:paraId="4F5E1FB9"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68F3EB53"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“Authorship is a question of fact.” </w:t>
      </w:r>
      <w:r w:rsidRPr="00845725">
        <w:rPr>
          <w:rFonts w:ascii="Times New Roman" w:eastAsia="Calibri" w:hAnsi="Times New Roman" w:cs="Times New Roman"/>
          <w:i/>
          <w:iCs/>
          <w:kern w:val="0"/>
          <w14:ligatures w14:val="none"/>
        </w:rPr>
        <w:t>S.O.S., Inc. v. Payday, Inc.</w:t>
      </w:r>
      <w:r w:rsidRPr="00845725">
        <w:rPr>
          <w:rFonts w:ascii="Times New Roman" w:eastAsia="Calibri" w:hAnsi="Times New Roman" w:cs="Times New Roman"/>
          <w:kern w:val="0"/>
          <w14:ligatures w14:val="none"/>
        </w:rPr>
        <w:t xml:space="preserve">, 886 F.2d 1081, 1086 (9th Cir. 1989) (citing </w:t>
      </w:r>
      <w:r w:rsidRPr="00845725">
        <w:rPr>
          <w:rFonts w:ascii="Times New Roman" w:eastAsia="Calibri" w:hAnsi="Times New Roman" w:cs="Times New Roman"/>
          <w:i/>
          <w:iCs/>
          <w:kern w:val="0"/>
          <w14:ligatures w14:val="none"/>
        </w:rPr>
        <w:t>Del</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Madera Props. v. Rhodes &amp; Gardner, Inc.</w:t>
      </w:r>
      <w:r w:rsidRPr="00845725">
        <w:rPr>
          <w:rFonts w:ascii="Times New Roman" w:eastAsia="Calibri" w:hAnsi="Times New Roman" w:cs="Times New Roman"/>
          <w:kern w:val="0"/>
          <w14:ligatures w14:val="none"/>
        </w:rPr>
        <w:t>, 820 F.2d 973, 980 (9th Cir. 1987)).</w:t>
      </w:r>
    </w:p>
    <w:p w14:paraId="7097B74D"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075FF13F"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Instruction 17.14 (Copyright Infringement—Originality).</w:t>
      </w:r>
    </w:p>
    <w:p w14:paraId="06B6C380"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2C76AF29" w14:textId="77777777" w:rsidR="008F6E2D" w:rsidRPr="00845725" w:rsidRDefault="008F6E2D" w:rsidP="008F6E2D">
      <w:pPr>
        <w:autoSpaceDE w:val="0"/>
        <w:autoSpaceDN w:val="0"/>
        <w:adjustRightInd w:val="0"/>
        <w:spacing w:after="0" w:line="240" w:lineRule="auto"/>
        <w:rPr>
          <w:rFonts w:ascii="Times New Roman" w:eastAsia="Calibri" w:hAnsi="Times New Roman" w:cs="Times New Roman"/>
          <w:i/>
          <w:iCs/>
          <w:kern w:val="0"/>
          <w14:ligatures w14:val="none"/>
        </w:rPr>
      </w:pPr>
      <w:r w:rsidRPr="00845725">
        <w:rPr>
          <w:rFonts w:ascii="Times New Roman" w:eastAsia="Calibri" w:hAnsi="Times New Roman" w:cs="Times New Roman"/>
          <w:kern w:val="0"/>
          <w14:ligatures w14:val="none"/>
        </w:rPr>
        <w:tab/>
        <w:t>Copyright in a work “vests initially in the author or authors” of a work. 17 U.S.C. § 201(a). “As a general rule, the author is the party who actually creates the work</w:t>
      </w:r>
      <w:r>
        <w:rPr>
          <w:rFonts w:ascii="Times New Roman" w:eastAsia="Calibri" w:hAnsi="Times New Roman" w:cs="Times New Roman"/>
          <w:kern w:val="0"/>
          <w14:ligatures w14:val="none"/>
        </w:rPr>
        <w:t xml:space="preserve"> . . . .</w:t>
      </w:r>
      <w:r w:rsidRPr="00845725">
        <w:rPr>
          <w:rFonts w:ascii="Times New Roman" w:eastAsia="Calibri" w:hAnsi="Times New Roman" w:cs="Times New Roman"/>
          <w:kern w:val="0"/>
          <w14:ligatures w14:val="none"/>
        </w:rPr>
        <w:t xml:space="preserve">” </w:t>
      </w:r>
      <w:proofErr w:type="spellStart"/>
      <w:r w:rsidRPr="00845725">
        <w:rPr>
          <w:rFonts w:ascii="Times New Roman" w:eastAsia="Calibri" w:hAnsi="Times New Roman" w:cs="Times New Roman"/>
          <w:i/>
          <w:iCs/>
          <w:kern w:val="0"/>
          <w14:ligatures w14:val="none"/>
        </w:rPr>
        <w:t>Cmty</w:t>
      </w:r>
      <w:proofErr w:type="spellEnd"/>
      <w:r w:rsidRPr="00845725">
        <w:rPr>
          <w:rFonts w:ascii="Times New Roman" w:eastAsia="Calibri" w:hAnsi="Times New Roman" w:cs="Times New Roman"/>
          <w:i/>
          <w:iCs/>
          <w:kern w:val="0"/>
          <w14:ligatures w14:val="none"/>
        </w:rPr>
        <w:t>. for Creative Non-Violence v. Reid</w:t>
      </w:r>
      <w:r w:rsidRPr="00845725">
        <w:rPr>
          <w:rFonts w:ascii="Times New Roman" w:eastAsia="Calibri" w:hAnsi="Times New Roman" w:cs="Times New Roman"/>
          <w:kern w:val="0"/>
          <w14:ligatures w14:val="none"/>
        </w:rPr>
        <w:t>, 490 U.S. 730, 737 (1989). Integral to the concept of authorship is the translation of an idea into a fixed tangible medium of expression.</w:t>
      </w:r>
      <w:r w:rsidRPr="00845725">
        <w:rPr>
          <w:rFonts w:ascii="Times New Roman" w:eastAsia="Calibri" w:hAnsi="Times New Roman" w:cs="Times New Roman"/>
          <w:i/>
          <w:iCs/>
          <w:kern w:val="0"/>
          <w14:ligatures w14:val="none"/>
        </w:rPr>
        <w:t xml:space="preserve"> See S.O.S.</w:t>
      </w:r>
      <w:r w:rsidRPr="00845725">
        <w:rPr>
          <w:rFonts w:ascii="Times New Roman" w:eastAsia="Calibri" w:hAnsi="Times New Roman" w:cs="Times New Roman"/>
          <w:kern w:val="0"/>
          <w14:ligatures w14:val="none"/>
        </w:rPr>
        <w:t>, 886 F.2d at 1087 (quoting</w:t>
      </w:r>
      <w:r w:rsidRPr="00845725">
        <w:rPr>
          <w:rFonts w:ascii="Times New Roman" w:eastAsia="Calibri" w:hAnsi="Times New Roman" w:cs="Times New Roman"/>
          <w:i/>
          <w:iCs/>
          <w:kern w:val="0"/>
          <w14:ligatures w14:val="none"/>
        </w:rPr>
        <w:t xml:space="preserve"> </w:t>
      </w:r>
      <w:r>
        <w:rPr>
          <w:rFonts w:ascii="Times New Roman" w:eastAsia="Calibri" w:hAnsi="Times New Roman" w:cs="Times New Roman"/>
          <w:i/>
          <w:iCs/>
          <w:kern w:val="0"/>
          <w14:ligatures w14:val="none"/>
        </w:rPr>
        <w:t>Reid</w:t>
      </w:r>
      <w:r w:rsidRPr="00845725">
        <w:rPr>
          <w:rFonts w:ascii="Times New Roman" w:eastAsia="Calibri" w:hAnsi="Times New Roman" w:cs="Times New Roman"/>
          <w:kern w:val="0"/>
          <w14:ligatures w14:val="none"/>
        </w:rPr>
        <w:t xml:space="preserve">, 490 U.S. at 737); </w:t>
      </w:r>
      <w:r w:rsidRPr="00845725">
        <w:rPr>
          <w:rFonts w:ascii="Times New Roman" w:eastAsia="Calibri" w:hAnsi="Times New Roman" w:cs="Times New Roman"/>
          <w:i/>
          <w:iCs/>
          <w:kern w:val="0"/>
          <w14:ligatures w14:val="none"/>
        </w:rPr>
        <w:t xml:space="preserve">see also </w:t>
      </w:r>
      <w:r w:rsidRPr="00845725">
        <w:rPr>
          <w:rFonts w:ascii="Times New Roman" w:eastAsia="Calibri" w:hAnsi="Times New Roman" w:cs="Times New Roman"/>
          <w:kern w:val="0"/>
          <w14:ligatures w14:val="none"/>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5725">
        <w:rPr>
          <w:rFonts w:ascii="Times New Roman" w:eastAsia="Calibri" w:hAnsi="Times New Roman" w:cs="Times New Roman"/>
          <w:i/>
          <w:iCs/>
          <w:kern w:val="0"/>
          <w14:ligatures w14:val="none"/>
        </w:rPr>
        <w:t>Perfect 10, Inc. v. Amazon.com, Inc</w:t>
      </w:r>
      <w:r w:rsidRPr="00845725">
        <w:rPr>
          <w:rFonts w:ascii="Times New Roman" w:eastAsia="Calibri" w:hAnsi="Times New Roman" w:cs="Times New Roman"/>
          <w:kern w:val="0"/>
          <w14:ligatures w14:val="none"/>
        </w:rPr>
        <w:t xml:space="preserve">., 508 F.3d 1146, 1160 (9th Cir. 2010) (quoting 17 U.S.C. § 101) (a photographic image stored in a computer’s server is fixed in a tangible medium of expression). Authorship is a designation for the “originator” of the work, who “causes something to come into being.”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i/>
          <w:iCs/>
          <w:kern w:val="0"/>
          <w14:ligatures w14:val="none"/>
        </w:rPr>
        <w:t xml:space="preserve"> v. Lee</w:t>
      </w:r>
      <w:r w:rsidRPr="00845725">
        <w:rPr>
          <w:rFonts w:ascii="Times New Roman" w:eastAsia="Calibri" w:hAnsi="Times New Roman" w:cs="Times New Roman"/>
          <w:kern w:val="0"/>
          <w14:ligatures w14:val="none"/>
        </w:rPr>
        <w:t xml:space="preserve">, 202 F.3d 1227, 1232 (9th Cir. 2000). In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kern w:val="0"/>
          <w14:ligatures w14:val="none"/>
        </w:rPr>
        <w:t xml:space="preserve">, the court noted that the Supreme Court had defined “author” as the person “to whom the work owes its origin and </w:t>
      </w:r>
      <w:bookmarkStart w:id="1" w:name="SR_59_4065"/>
      <w:bookmarkEnd w:id="1"/>
      <w:r w:rsidRPr="00845725">
        <w:rPr>
          <w:rFonts w:ascii="Times New Roman" w:eastAsia="Calibri" w:hAnsi="Times New Roman" w:cs="Times New Roman"/>
          <w:kern w:val="0"/>
          <w14:ligatures w14:val="none"/>
        </w:rPr>
        <w:t xml:space="preserve">who </w:t>
      </w:r>
      <w:bookmarkStart w:id="2" w:name="SR_59_4066"/>
      <w:bookmarkEnd w:id="2"/>
      <w:r w:rsidRPr="00845725">
        <w:rPr>
          <w:rFonts w:ascii="Times New Roman" w:eastAsia="Calibri" w:hAnsi="Times New Roman" w:cs="Times New Roman"/>
          <w:kern w:val="0"/>
          <w14:ligatures w14:val="none"/>
        </w:rPr>
        <w:t xml:space="preserve">superintended </w:t>
      </w:r>
      <w:bookmarkStart w:id="3" w:name="SR_59_4067"/>
      <w:bookmarkEnd w:id="3"/>
      <w:r w:rsidRPr="00845725">
        <w:rPr>
          <w:rFonts w:ascii="Times New Roman" w:eastAsia="Calibri" w:hAnsi="Times New Roman" w:cs="Times New Roman"/>
          <w:kern w:val="0"/>
          <w14:ligatures w14:val="none"/>
        </w:rPr>
        <w:t xml:space="preserve">the </w:t>
      </w:r>
      <w:bookmarkStart w:id="4" w:name="SR_59_4068"/>
      <w:bookmarkEnd w:id="4"/>
      <w:r w:rsidRPr="00845725">
        <w:rPr>
          <w:rFonts w:ascii="Times New Roman" w:eastAsia="Calibri" w:hAnsi="Times New Roman" w:cs="Times New Roman"/>
          <w:kern w:val="0"/>
          <w14:ligatures w14:val="none"/>
        </w:rPr>
        <w:t xml:space="preserve">whole </w:t>
      </w:r>
      <w:bookmarkStart w:id="5" w:name="SR_59_4069"/>
      <w:bookmarkEnd w:id="5"/>
      <w:r w:rsidRPr="00845725">
        <w:rPr>
          <w:rFonts w:ascii="Times New Roman" w:eastAsia="Calibri" w:hAnsi="Times New Roman" w:cs="Times New Roman"/>
          <w:kern w:val="0"/>
          <w14:ligatures w14:val="none"/>
        </w:rPr>
        <w:t>work, the ‘master mind.’” 202 F.3d at 1233 (citing</w:t>
      </w:r>
      <w:r w:rsidRPr="00845725">
        <w:rPr>
          <w:rFonts w:ascii="Times New Roman" w:eastAsia="Calibri" w:hAnsi="Times New Roman" w:cs="Times New Roman"/>
          <w:i/>
          <w:iCs/>
          <w:kern w:val="0"/>
          <w14:ligatures w14:val="none"/>
        </w:rPr>
        <w:t xml:space="preserve"> Burrow-Giles Lithographic Co. v. </w:t>
      </w:r>
      <w:proofErr w:type="spellStart"/>
      <w:r w:rsidRPr="00845725">
        <w:rPr>
          <w:rFonts w:ascii="Times New Roman" w:eastAsia="Calibri" w:hAnsi="Times New Roman" w:cs="Times New Roman"/>
          <w:i/>
          <w:iCs/>
          <w:kern w:val="0"/>
          <w14:ligatures w14:val="none"/>
        </w:rPr>
        <w:t>Sarony</w:t>
      </w:r>
      <w:proofErr w:type="spellEnd"/>
      <w:r w:rsidRPr="00845725">
        <w:rPr>
          <w:rFonts w:ascii="Times New Roman" w:eastAsia="Calibri" w:hAnsi="Times New Roman" w:cs="Times New Roman"/>
          <w:kern w:val="0"/>
          <w14:ligatures w14:val="none"/>
        </w:rPr>
        <w:t xml:space="preserve">, 111 U.S. 53, 58, 61 (1884)). The </w:t>
      </w:r>
      <w:r w:rsidRPr="00845725">
        <w:rPr>
          <w:rFonts w:ascii="Times New Roman" w:eastAsia="Calibri" w:hAnsi="Times New Roman" w:cs="Times New Roman"/>
          <w:i/>
          <w:iCs/>
          <w:kern w:val="0"/>
          <w14:ligatures w14:val="none"/>
        </w:rPr>
        <w:t>Burrow-Giles</w:t>
      </w:r>
      <w:r w:rsidRPr="00845725">
        <w:rPr>
          <w:rFonts w:ascii="Times New Roman" w:eastAsia="Calibri" w:hAnsi="Times New Roman" w:cs="Times New Roman"/>
          <w:kern w:val="0"/>
          <w14:ligatures w14:val="none"/>
        </w:rPr>
        <w:t xml:space="preserve"> definition “is still good law.”</w:t>
      </w:r>
      <w:r w:rsidRPr="00845725">
        <w:rPr>
          <w:rFonts w:ascii="Times New Roman" w:eastAsia="Calibri" w:hAnsi="Times New Roman" w:cs="Times New Roman"/>
          <w:i/>
          <w:iCs/>
          <w:kern w:val="0"/>
          <w14:ligatures w14:val="none"/>
        </w:rPr>
        <w:t xml:space="preserve"> Id.</w:t>
      </w:r>
    </w:p>
    <w:p w14:paraId="602A916F" w14:textId="77777777" w:rsidR="008F6E2D" w:rsidRDefault="008F6E2D" w:rsidP="008F6E2D">
      <w:pPr>
        <w:autoSpaceDE w:val="0"/>
        <w:autoSpaceDN w:val="0"/>
        <w:adjustRightInd w:val="0"/>
        <w:spacing w:after="0" w:line="240" w:lineRule="auto"/>
        <w:rPr>
          <w:rFonts w:ascii="Times New Roman" w:eastAsia="Calibri" w:hAnsi="Times New Roman" w:cs="Times New Roman"/>
          <w:kern w:val="0"/>
          <w14:ligatures w14:val="none"/>
        </w:rPr>
      </w:pPr>
    </w:p>
    <w:p w14:paraId="5B8B7453" w14:textId="40BD02FD" w:rsidR="008F6E2D" w:rsidRPr="008F6E2D" w:rsidRDefault="008F6E2D" w:rsidP="008F6E2D">
      <w:pPr>
        <w:autoSpaceDE w:val="0"/>
        <w:autoSpaceDN w:val="0"/>
        <w:adjustRightInd w:val="0"/>
        <w:spacing w:after="0" w:line="240" w:lineRule="auto"/>
        <w:jc w:val="right"/>
        <w:rPr>
          <w:rFonts w:ascii="Times New Roman" w:eastAsia="Calibri" w:hAnsi="Times New Roman" w:cs="Times New Roman"/>
          <w:i/>
          <w:iCs/>
          <w:kern w:val="0"/>
          <w14:ligatures w14:val="none"/>
        </w:rPr>
      </w:pPr>
      <w:r w:rsidRPr="006362BA">
        <w:rPr>
          <w:rFonts w:ascii="Times New Roman" w:eastAsia="Calibri" w:hAnsi="Times New Roman" w:cs="Times New Roman"/>
          <w:i/>
          <w:iCs/>
          <w:kern w:val="0"/>
          <w14:ligatures w14:val="none"/>
        </w:rPr>
        <w:t>Revised September 2025</w:t>
      </w:r>
    </w:p>
    <w:sectPr w:rsidR="008F6E2D" w:rsidRPr="008F6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2D"/>
    <w:rsid w:val="008F6E2D"/>
    <w:rsid w:val="0092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D474"/>
  <w15:chartTrackingRefBased/>
  <w15:docId w15:val="{4CBA8F9F-5359-4973-AA2C-FDAFA7A3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2D"/>
  </w:style>
  <w:style w:type="paragraph" w:styleId="Heading1">
    <w:name w:val="heading 1"/>
    <w:basedOn w:val="Normal"/>
    <w:next w:val="Normal"/>
    <w:link w:val="Heading1Char"/>
    <w:uiPriority w:val="9"/>
    <w:qFormat/>
    <w:rsid w:val="008F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E2D"/>
    <w:rPr>
      <w:rFonts w:eastAsiaTheme="majorEastAsia" w:cstheme="majorBidi"/>
      <w:color w:val="272727" w:themeColor="text1" w:themeTint="D8"/>
    </w:rPr>
  </w:style>
  <w:style w:type="paragraph" w:styleId="Title">
    <w:name w:val="Title"/>
    <w:basedOn w:val="Normal"/>
    <w:next w:val="Normal"/>
    <w:link w:val="TitleChar"/>
    <w:uiPriority w:val="10"/>
    <w:qFormat/>
    <w:rsid w:val="008F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E2D"/>
    <w:pPr>
      <w:spacing w:before="160"/>
      <w:jc w:val="center"/>
    </w:pPr>
    <w:rPr>
      <w:i/>
      <w:iCs/>
      <w:color w:val="404040" w:themeColor="text1" w:themeTint="BF"/>
    </w:rPr>
  </w:style>
  <w:style w:type="character" w:customStyle="1" w:styleId="QuoteChar">
    <w:name w:val="Quote Char"/>
    <w:basedOn w:val="DefaultParagraphFont"/>
    <w:link w:val="Quote"/>
    <w:uiPriority w:val="29"/>
    <w:rsid w:val="008F6E2D"/>
    <w:rPr>
      <w:i/>
      <w:iCs/>
      <w:color w:val="404040" w:themeColor="text1" w:themeTint="BF"/>
    </w:rPr>
  </w:style>
  <w:style w:type="paragraph" w:styleId="ListParagraph">
    <w:name w:val="List Paragraph"/>
    <w:basedOn w:val="Normal"/>
    <w:uiPriority w:val="34"/>
    <w:qFormat/>
    <w:rsid w:val="008F6E2D"/>
    <w:pPr>
      <w:ind w:left="720"/>
      <w:contextualSpacing/>
    </w:pPr>
  </w:style>
  <w:style w:type="character" w:styleId="IntenseEmphasis">
    <w:name w:val="Intense Emphasis"/>
    <w:basedOn w:val="DefaultParagraphFont"/>
    <w:uiPriority w:val="21"/>
    <w:qFormat/>
    <w:rsid w:val="008F6E2D"/>
    <w:rPr>
      <w:i/>
      <w:iCs/>
      <w:color w:val="0F4761" w:themeColor="accent1" w:themeShade="BF"/>
    </w:rPr>
  </w:style>
  <w:style w:type="paragraph" w:styleId="IntenseQuote">
    <w:name w:val="Intense Quote"/>
    <w:basedOn w:val="Normal"/>
    <w:next w:val="Normal"/>
    <w:link w:val="IntenseQuoteChar"/>
    <w:uiPriority w:val="30"/>
    <w:qFormat/>
    <w:rsid w:val="008F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E2D"/>
    <w:rPr>
      <w:i/>
      <w:iCs/>
      <w:color w:val="0F4761" w:themeColor="accent1" w:themeShade="BF"/>
    </w:rPr>
  </w:style>
  <w:style w:type="character" w:styleId="IntenseReference">
    <w:name w:val="Intense Reference"/>
    <w:basedOn w:val="DefaultParagraphFont"/>
    <w:uiPriority w:val="32"/>
    <w:qFormat/>
    <w:rsid w:val="008F6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Company>United States Courts</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2025-11-10T05:53:00Z</dcterms:modified>
</cp:coreProperties>
</file>