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2E88F" w14:textId="77777777" w:rsidR="0090328C" w:rsidRPr="00374DD7" w:rsidRDefault="0090328C" w:rsidP="0090328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374DD7">
        <w:rPr>
          <w:rFonts w:ascii="Times New Roman" w:hAnsi="Times New Roman" w:cs="Times New Roman"/>
          <w:b/>
          <w:bCs/>
          <w:sz w:val="24"/>
          <w:szCs w:val="24"/>
        </w:rPr>
        <w:t>18.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374DD7">
        <w:rPr>
          <w:rFonts w:ascii="Times New Roman" w:hAnsi="Times New Roman" w:cs="Times New Roman"/>
          <w:b/>
          <w:bCs/>
          <w:sz w:val="24"/>
          <w:szCs w:val="24"/>
        </w:rPr>
        <w:t xml:space="preserve"> Securities——Controlling Person Liability</w:t>
      </w:r>
    </w:p>
    <w:p w14:paraId="697092DC" w14:textId="77777777" w:rsidR="0090328C" w:rsidRDefault="0090328C" w:rsidP="0090328C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DD7">
        <w:rPr>
          <w:rFonts w:ascii="Times New Roman" w:hAnsi="Times New Roman" w:cs="Times New Roman"/>
          <w:sz w:val="24"/>
          <w:szCs w:val="24"/>
        </w:rPr>
        <w:tab/>
      </w:r>
    </w:p>
    <w:p w14:paraId="21A977DA" w14:textId="77777777" w:rsidR="005C0DBE" w:rsidRPr="005C0DBE" w:rsidRDefault="005C0DBE" w:rsidP="005C0DBE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DBE">
        <w:rPr>
          <w:rFonts w:ascii="Times New Roman" w:hAnsi="Times New Roman" w:cs="Times New Roman"/>
          <w:sz w:val="24"/>
          <w:szCs w:val="24"/>
        </w:rPr>
        <w:tab/>
        <w:t>Under the Securities Exchange Act of 1934, a defendant may be liable if during the period that someone else defrauded the plaintiff, the defendant had the authority to control that person or company.</w:t>
      </w:r>
    </w:p>
    <w:p w14:paraId="7D67AA74" w14:textId="77777777" w:rsidR="005C0DBE" w:rsidRPr="005C0DBE" w:rsidRDefault="005C0DBE" w:rsidP="005C0DBE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031031" w14:textId="77777777" w:rsidR="005C0DBE" w:rsidRPr="005C0DBE" w:rsidRDefault="005C0DBE" w:rsidP="005C0DBE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DBE">
        <w:rPr>
          <w:rFonts w:ascii="Times New Roman" w:hAnsi="Times New Roman" w:cs="Times New Roman"/>
          <w:sz w:val="24"/>
          <w:szCs w:val="24"/>
        </w:rPr>
        <w:tab/>
        <w:t>The plaintiff [</w:t>
      </w:r>
      <w:r w:rsidRPr="005C0DBE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5C0DBE">
        <w:rPr>
          <w:rFonts w:ascii="Times New Roman" w:hAnsi="Times New Roman" w:cs="Times New Roman"/>
          <w:sz w:val="24"/>
          <w:szCs w:val="24"/>
        </w:rPr>
        <w:t>] claims that the defendant [</w:t>
      </w:r>
      <w:r w:rsidRPr="005C0DBE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5C0DBE">
        <w:rPr>
          <w:rFonts w:ascii="Times New Roman" w:hAnsi="Times New Roman" w:cs="Times New Roman"/>
          <w:sz w:val="24"/>
          <w:szCs w:val="24"/>
        </w:rPr>
        <w:t>] is a controlling person and is therefore liable under the securities laws. On this claim, the plaintiff [</w:t>
      </w:r>
      <w:r w:rsidRPr="005C0DBE">
        <w:rPr>
          <w:rFonts w:ascii="Times New Roman" w:hAnsi="Times New Roman" w:cs="Times New Roman"/>
          <w:i/>
          <w:iCs/>
          <w:sz w:val="24"/>
          <w:szCs w:val="24"/>
          <w:u w:val="single"/>
        </w:rPr>
        <w:t>name</w:t>
      </w:r>
      <w:r w:rsidRPr="005C0DBE">
        <w:rPr>
          <w:rFonts w:ascii="Times New Roman" w:hAnsi="Times New Roman" w:cs="Times New Roman"/>
          <w:sz w:val="24"/>
          <w:szCs w:val="24"/>
        </w:rPr>
        <w:t>] has the burden of proving by a preponderance of the evidence that the defendant [</w:t>
      </w:r>
      <w:r w:rsidRPr="005C0DBE">
        <w:rPr>
          <w:rFonts w:ascii="Times New Roman" w:hAnsi="Times New Roman" w:cs="Times New Roman"/>
          <w:i/>
          <w:iCs/>
          <w:sz w:val="24"/>
          <w:szCs w:val="24"/>
          <w:u w:val="single"/>
        </w:rPr>
        <w:t>identify the alleged controlling person</w:t>
      </w:r>
      <w:r w:rsidRPr="005C0DBE">
        <w:rPr>
          <w:rFonts w:ascii="Times New Roman" w:hAnsi="Times New Roman" w:cs="Times New Roman"/>
          <w:sz w:val="24"/>
          <w:szCs w:val="24"/>
        </w:rPr>
        <w:t>] possessed, directly or indirectly, the actual power to direct or cause the direction of the management and policies of [</w:t>
      </w:r>
      <w:r w:rsidRPr="005C0DBE">
        <w:rPr>
          <w:rFonts w:ascii="Times New Roman" w:hAnsi="Times New Roman" w:cs="Times New Roman"/>
          <w:i/>
          <w:iCs/>
          <w:sz w:val="24"/>
          <w:szCs w:val="24"/>
          <w:u w:val="single"/>
        </w:rPr>
        <w:t>identify the alleged controlled person</w:t>
      </w:r>
      <w:r w:rsidRPr="005C0DBE">
        <w:rPr>
          <w:rFonts w:ascii="Times New Roman" w:hAnsi="Times New Roman" w:cs="Times New Roman"/>
          <w:sz w:val="24"/>
          <w:szCs w:val="24"/>
        </w:rPr>
        <w:t>].</w:t>
      </w:r>
    </w:p>
    <w:p w14:paraId="4990D894" w14:textId="77777777" w:rsidR="005C0DBE" w:rsidRPr="005C0DBE" w:rsidRDefault="005C0DBE" w:rsidP="005C0D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1891F" w14:textId="77777777" w:rsidR="005C0DBE" w:rsidRPr="005C0DBE" w:rsidRDefault="005C0DBE" w:rsidP="005C0DBE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BE">
        <w:rPr>
          <w:rFonts w:ascii="Times New Roman" w:hAnsi="Times New Roman" w:cs="Times New Roman"/>
          <w:b/>
          <w:bCs/>
          <w:sz w:val="24"/>
          <w:szCs w:val="24"/>
        </w:rPr>
        <w:t>Comment</w:t>
      </w:r>
    </w:p>
    <w:p w14:paraId="05863E8F" w14:textId="77777777" w:rsidR="005C0DBE" w:rsidRPr="005C0DBE" w:rsidRDefault="005C0DBE" w:rsidP="005C0D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AB4B1" w14:textId="77777777" w:rsidR="005C0DBE" w:rsidRPr="005C0DBE" w:rsidRDefault="005C0DBE" w:rsidP="005C0DBE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DBE">
        <w:rPr>
          <w:rFonts w:ascii="Times New Roman" w:hAnsi="Times New Roman" w:cs="Times New Roman"/>
          <w:sz w:val="24"/>
          <w:szCs w:val="24"/>
        </w:rPr>
        <w:tab/>
        <w:t>See Instruction 18.1 (Securities—Purpose and Selected Definitions) for the definition of “controlling person.”</w:t>
      </w:r>
    </w:p>
    <w:p w14:paraId="3D929B61" w14:textId="77777777" w:rsidR="005C0DBE" w:rsidRPr="005C0DBE" w:rsidRDefault="005C0DBE" w:rsidP="005C0DBE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5FB11B" w14:textId="77777777" w:rsidR="005C0DBE" w:rsidRPr="005C0DBE" w:rsidRDefault="005C0DBE" w:rsidP="005C0DBE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DBE">
        <w:rPr>
          <w:rFonts w:ascii="Times New Roman" w:hAnsi="Times New Roman" w:cs="Times New Roman"/>
          <w:sz w:val="24"/>
          <w:szCs w:val="24"/>
        </w:rPr>
        <w:tab/>
        <w:t xml:space="preserve">Section 20(a) of the Securities Exchange Act of 1934 provides that “controlling persons” can be vicariously liable for 10b-5 violations. </w:t>
      </w:r>
      <w:r w:rsidRPr="005C0DBE">
        <w:rPr>
          <w:rFonts w:ascii="Times New Roman" w:hAnsi="Times New Roman" w:cs="Times New Roman"/>
          <w:i/>
          <w:iCs/>
          <w:sz w:val="24"/>
          <w:szCs w:val="24"/>
        </w:rPr>
        <w:t>See</w:t>
      </w:r>
      <w:r w:rsidRPr="005C0DBE">
        <w:rPr>
          <w:rFonts w:ascii="Times New Roman" w:hAnsi="Times New Roman" w:cs="Times New Roman"/>
          <w:sz w:val="24"/>
          <w:szCs w:val="24"/>
        </w:rPr>
        <w:t xml:space="preserve"> 15 U.S.C. § 78t(a) (discussing liability of controlling persons); 17 C.F.R. § 230.405 (defining “control”); </w:t>
      </w:r>
      <w:r w:rsidRPr="005C0DBE">
        <w:rPr>
          <w:rFonts w:ascii="Times New Roman" w:hAnsi="Times New Roman" w:cs="Times New Roman"/>
          <w:i/>
          <w:iCs/>
          <w:sz w:val="24"/>
          <w:szCs w:val="24"/>
        </w:rPr>
        <w:t>Hollinger v. Titan Capital Corp.</w:t>
      </w:r>
      <w:r w:rsidRPr="005C0DBE">
        <w:rPr>
          <w:rFonts w:ascii="Times New Roman" w:hAnsi="Times New Roman" w:cs="Times New Roman"/>
          <w:sz w:val="24"/>
          <w:szCs w:val="24"/>
        </w:rPr>
        <w:t>, 914 F.2d 1564, 1578 (9th Cir. 1990) (</w:t>
      </w:r>
      <w:proofErr w:type="spellStart"/>
      <w:r w:rsidRPr="005C0DBE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5C0DBE">
        <w:rPr>
          <w:rFonts w:ascii="Times New Roman" w:hAnsi="Times New Roman" w:cs="Times New Roman"/>
          <w:sz w:val="24"/>
          <w:szCs w:val="24"/>
        </w:rPr>
        <w:t xml:space="preserve"> banc) (holding that broker-dealer is “controlling person” within meaning of 1934 Act and could be liable for its stockbroker-employee’s conduct, even if broker-dealer and stockbroker contractually agreed that stockbroker would be independent contractor); </w:t>
      </w:r>
      <w:r w:rsidRPr="005C0DBE">
        <w:rPr>
          <w:rFonts w:ascii="Times New Roman" w:hAnsi="Times New Roman" w:cs="Times New Roman"/>
          <w:i/>
          <w:iCs/>
          <w:sz w:val="24"/>
          <w:szCs w:val="24"/>
        </w:rPr>
        <w:t>see also</w:t>
      </w:r>
      <w:r w:rsidRPr="005C0DBE">
        <w:rPr>
          <w:rFonts w:ascii="Times New Roman" w:hAnsi="Times New Roman" w:cs="Times New Roman"/>
          <w:sz w:val="24"/>
          <w:szCs w:val="24"/>
        </w:rPr>
        <w:t xml:space="preserve"> </w:t>
      </w:r>
      <w:r w:rsidRPr="005C0DBE">
        <w:rPr>
          <w:rFonts w:ascii="Times New Roman" w:hAnsi="Times New Roman" w:cs="Times New Roman"/>
          <w:i/>
          <w:iCs/>
          <w:sz w:val="24"/>
          <w:szCs w:val="24"/>
        </w:rPr>
        <w:t xml:space="preserve">No. 84 </w:t>
      </w:r>
      <w:proofErr w:type="spellStart"/>
      <w:r w:rsidRPr="005C0DBE">
        <w:rPr>
          <w:rFonts w:ascii="Times New Roman" w:hAnsi="Times New Roman" w:cs="Times New Roman"/>
          <w:i/>
          <w:iCs/>
          <w:sz w:val="24"/>
          <w:szCs w:val="24"/>
        </w:rPr>
        <w:t>Empl’r</w:t>
      </w:r>
      <w:proofErr w:type="spellEnd"/>
      <w:r w:rsidRPr="005C0DBE">
        <w:rPr>
          <w:rFonts w:ascii="Times New Roman" w:hAnsi="Times New Roman" w:cs="Times New Roman"/>
          <w:i/>
          <w:iCs/>
          <w:sz w:val="24"/>
          <w:szCs w:val="24"/>
        </w:rPr>
        <w:t>-Teamster Joint Council Pension Trust Fund v. Am. W. Holding Corp</w:t>
      </w:r>
      <w:r w:rsidRPr="005C0DBE">
        <w:rPr>
          <w:rFonts w:ascii="Times New Roman" w:hAnsi="Times New Roman" w:cs="Times New Roman"/>
          <w:sz w:val="24"/>
          <w:szCs w:val="24"/>
        </w:rPr>
        <w:t>., 320 F.3d 920, 945 (9th Cir. 2003) (discussing traditional indicia of “control”).</w:t>
      </w:r>
    </w:p>
    <w:p w14:paraId="3E1A1C9F" w14:textId="77777777" w:rsidR="005C0DBE" w:rsidRPr="005C0DBE" w:rsidRDefault="005C0DBE" w:rsidP="005C0DBE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8C200" w14:textId="77777777" w:rsidR="005C0DBE" w:rsidRPr="005C0DBE" w:rsidRDefault="005C0DBE" w:rsidP="005C0DBE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DBE">
        <w:rPr>
          <w:rFonts w:ascii="Times New Roman" w:hAnsi="Times New Roman" w:cs="Times New Roman"/>
          <w:sz w:val="24"/>
          <w:szCs w:val="24"/>
        </w:rPr>
        <w:tab/>
      </w:r>
      <w:r w:rsidRPr="005C0DBE">
        <w:rPr>
          <w:rFonts w:ascii="Times New Roman" w:hAnsi="Times New Roman" w:cs="Times New Roman"/>
          <w:i/>
          <w:iCs/>
          <w:sz w:val="24"/>
          <w:szCs w:val="24"/>
        </w:rPr>
        <w:t>See</w:t>
      </w:r>
      <w:r w:rsidRPr="005C0DBE">
        <w:rPr>
          <w:rFonts w:ascii="Times New Roman" w:hAnsi="Times New Roman" w:cs="Times New Roman"/>
          <w:sz w:val="24"/>
          <w:szCs w:val="24"/>
        </w:rPr>
        <w:t xml:space="preserve"> Instruction 18.11 (Securities—Good Faith Defense to Controlling Person Liability).</w:t>
      </w:r>
    </w:p>
    <w:p w14:paraId="52C7435B" w14:textId="77777777" w:rsidR="005C0DBE" w:rsidRPr="005C0DBE" w:rsidRDefault="005C0DBE" w:rsidP="005C0DBE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FCD3B" w14:textId="77777777" w:rsidR="005C0DBE" w:rsidRPr="005C0DBE" w:rsidRDefault="005C0DBE" w:rsidP="005C0DBE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DBE">
        <w:rPr>
          <w:rFonts w:ascii="Times New Roman" w:hAnsi="Times New Roman" w:cs="Times New Roman"/>
          <w:sz w:val="24"/>
          <w:szCs w:val="24"/>
        </w:rPr>
        <w:tab/>
        <w:t xml:space="preserve">It may be necessary to supplement this instruction with instructions regarding respondent superior liability. </w:t>
      </w:r>
      <w:r w:rsidRPr="005C0DBE">
        <w:rPr>
          <w:rFonts w:ascii="Times New Roman" w:hAnsi="Times New Roman" w:cs="Times New Roman"/>
          <w:i/>
          <w:iCs/>
          <w:sz w:val="24"/>
          <w:szCs w:val="24"/>
        </w:rPr>
        <w:t>See</w:t>
      </w:r>
      <w:r w:rsidRPr="005C0DBE">
        <w:rPr>
          <w:rFonts w:ascii="Times New Roman" w:hAnsi="Times New Roman" w:cs="Times New Roman"/>
          <w:sz w:val="24"/>
          <w:szCs w:val="24"/>
        </w:rPr>
        <w:t xml:space="preserve"> Instructions 4.4 (Agent and Principal—Definition); 4.5 (Agent—Scope of Authority Defined); 4.8 (Act of Agent is Act of Principal—Scope of Authority Not in Issue); 4.9 (Both Principal and Agent Sued—No Issue as to Agency or Authority); 4.10 (Principal Sued but Not Agent—No Issue as to Agency or Authority); 4.11 (Both Principal and Agent Sued—Agency or Authority Denied); and 4.12 (Principal Sued but Not Agent—Agency or Authority Denied).</w:t>
      </w:r>
    </w:p>
    <w:p w14:paraId="79211BBC" w14:textId="77777777" w:rsidR="005C0DBE" w:rsidRPr="005C0DBE" w:rsidRDefault="005C0DBE" w:rsidP="005C0DBE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31EA32" w14:textId="77777777" w:rsidR="005C0DBE" w:rsidRPr="005C0DBE" w:rsidRDefault="005C0DBE" w:rsidP="005C0D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0DBE">
        <w:rPr>
          <w:rFonts w:ascii="Times New Roman" w:hAnsi="Times New Roman" w:cs="Times New Roman"/>
          <w:i/>
          <w:iCs/>
          <w:sz w:val="24"/>
          <w:szCs w:val="24"/>
        </w:rPr>
        <w:t>Revised September 2024</w:t>
      </w:r>
    </w:p>
    <w:p w14:paraId="5033116E" w14:textId="7D882E3D" w:rsidR="00C30C2C" w:rsidRDefault="00C30C2C" w:rsidP="005C0DBE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</w:pPr>
    </w:p>
    <w:sectPr w:rsidR="00C30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8C"/>
    <w:rsid w:val="00101F2B"/>
    <w:rsid w:val="001F1832"/>
    <w:rsid w:val="00235FFF"/>
    <w:rsid w:val="005C0DBE"/>
    <w:rsid w:val="00695F6A"/>
    <w:rsid w:val="006E771A"/>
    <w:rsid w:val="0090328C"/>
    <w:rsid w:val="00AD0F70"/>
    <w:rsid w:val="00B243DD"/>
    <w:rsid w:val="00B33BDD"/>
    <w:rsid w:val="00BC67C9"/>
    <w:rsid w:val="00C30C2C"/>
    <w:rsid w:val="00C64593"/>
    <w:rsid w:val="00DB7C92"/>
    <w:rsid w:val="00EB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F7EB7"/>
  <w15:chartTrackingRefBased/>
  <w15:docId w15:val="{24A64400-ADE4-410F-9B7B-411CEF82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28C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6E771A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6E771A"/>
    <w:rPr>
      <w:rFonts w:eastAsiaTheme="majorEastAsia" w:cstheme="majorBidi"/>
      <w:b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Samriddhi Rana</dc:creator>
  <cp:keywords/>
  <dc:description/>
  <cp:lastModifiedBy>Aejung Yoon</cp:lastModifiedBy>
  <cp:revision>5</cp:revision>
  <dcterms:created xsi:type="dcterms:W3CDTF">2024-10-30T18:31:00Z</dcterms:created>
  <dcterms:modified xsi:type="dcterms:W3CDTF">2026-03-27T00:30:00Z</dcterms:modified>
</cp:coreProperties>
</file>