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B3C86" w14:textId="193B4C5E" w:rsidR="003021A8" w:rsidRPr="00374DD7" w:rsidRDefault="003021A8" w:rsidP="003021A8">
      <w:pPr>
        <w:autoSpaceDE w:val="0"/>
        <w:autoSpaceDN w:val="0"/>
        <w:adjustRightInd w:val="0"/>
        <w:spacing w:after="0" w:line="240" w:lineRule="auto"/>
        <w:jc w:val="center"/>
        <w:outlineLvl w:val="1"/>
        <w:rPr>
          <w:rFonts w:ascii="Times New Roman" w:hAnsi="Times New Roman" w:cs="Times New Roman"/>
          <w:b/>
          <w:bCs/>
          <w:sz w:val="24"/>
          <w:szCs w:val="24"/>
        </w:rPr>
      </w:pPr>
      <w:bookmarkStart w:id="0" w:name="_Toc149646604"/>
      <w:bookmarkStart w:id="1" w:name="_Toc175067671"/>
      <w:r w:rsidRPr="00374DD7">
        <w:rPr>
          <w:rFonts w:ascii="Times New Roman" w:hAnsi="Times New Roman" w:cs="Times New Roman"/>
          <w:b/>
          <w:bCs/>
          <w:sz w:val="24"/>
          <w:szCs w:val="24"/>
        </w:rPr>
        <w:t>18.1 Securities—Purpose and Selected Definitions</w:t>
      </w:r>
      <w:bookmarkEnd w:id="0"/>
      <w:bookmarkEnd w:id="1"/>
    </w:p>
    <w:p w14:paraId="343D9FD8" w14:textId="77777777" w:rsidR="003021A8" w:rsidRPr="00374DD7" w:rsidRDefault="003021A8" w:rsidP="003021A8">
      <w:pPr>
        <w:numPr>
          <w:ilvl w:val="12"/>
          <w:numId w:val="0"/>
        </w:numPr>
        <w:autoSpaceDE w:val="0"/>
        <w:autoSpaceDN w:val="0"/>
        <w:adjustRightInd w:val="0"/>
        <w:spacing w:after="0" w:line="240" w:lineRule="auto"/>
        <w:rPr>
          <w:rFonts w:ascii="Times New Roman" w:hAnsi="Times New Roman" w:cs="Times New Roman"/>
          <w:sz w:val="24"/>
          <w:szCs w:val="24"/>
        </w:rPr>
      </w:pPr>
    </w:p>
    <w:p w14:paraId="0695ECD0" w14:textId="1125F1F4" w:rsidR="00902AC8" w:rsidRPr="00902AC8" w:rsidRDefault="003021A8" w:rsidP="00902AC8">
      <w:pPr>
        <w:autoSpaceDE w:val="0"/>
        <w:autoSpaceDN w:val="0"/>
        <w:adjustRightInd w:val="0"/>
        <w:rPr>
          <w:rFonts w:ascii="Times New Roman" w:hAnsi="Times New Roman" w:cs="Times New Roman"/>
          <w:sz w:val="24"/>
          <w:szCs w:val="24"/>
        </w:rPr>
      </w:pPr>
      <w:r w:rsidRPr="00374DD7">
        <w:rPr>
          <w:rFonts w:ascii="Times New Roman" w:hAnsi="Times New Roman" w:cs="Times New Roman"/>
          <w:sz w:val="24"/>
          <w:szCs w:val="24"/>
        </w:rPr>
        <w:tab/>
      </w:r>
      <w:r w:rsidR="00902AC8" w:rsidRPr="00902AC8">
        <w:rPr>
          <w:rFonts w:ascii="Times New Roman" w:hAnsi="Times New Roman" w:cs="Times New Roman"/>
          <w:sz w:val="24"/>
          <w:szCs w:val="24"/>
        </w:rPr>
        <w:t>Congress enacted the securities laws to protect the integrity of financial markets. The plaintiff claims to have suffered a loss caused by the defendant’s violation of certain of these laws.</w:t>
      </w:r>
    </w:p>
    <w:p w14:paraId="6CA01994" w14:textId="776A5BB5"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There are terms concerning securities laws that have a specific legal meaning. The following definitions apply throughout these instructions, unless noted otherwise. </w:t>
      </w:r>
    </w:p>
    <w:p w14:paraId="4F605D6A" w14:textId="56CCBD1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[A security is an investment of money in a commercial, financial, or other business enterprise, with the expectation of profit or other gain produced by the efforts of others. Some common types of securities are [stocks,] [bonds,] [debentures,] [warrants,] [and] [investment contracts].]</w:t>
      </w:r>
    </w:p>
    <w:p w14:paraId="1300D64B" w14:textId="4B9336DB"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The buying and selling of securities are controlled by the Securities Laws. Many of these laws are administered by the United States Securities and Exchange Commission (SEC).</w:t>
      </w:r>
    </w:p>
    <w:p w14:paraId="3296F299" w14:textId="1FEA959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A “10b-5 Claim” is a claim brought under a federal statute, Section 10(b) of the Securities Exchange Act of 1934, which prohibits acts of deception in connection with the purchase or sale of a security and in violation of rules and regulations that the SEC has the duty and power to issue. A corresponding SEC Rule, Rule 10b-5, prohibits the misrepresentation of material facts and the omission of material facts in connection with the purchase or sale of securities. A person or business entity who violates the securities laws, including Rule 10b-5, may be liable for damages caused by the violation.</w:t>
      </w:r>
    </w:p>
    <w:p w14:paraId="7C22416E" w14:textId="4905EDA6"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[A misrepresentation is a statement of material fact that is false or misleading when it is made. [A statement may be misleading even if it is literally true if the context in which the statement was made caused the listener or reader to remain unaware of the actual state of affairs.]]</w:t>
      </w:r>
    </w:p>
    <w:p w14:paraId="1646C43F" w14:textId="48762005"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[An omission is a failure to disclose a material fact that needed to be disclosed to prevent other statements that were made from being misleading.]</w:t>
      </w:r>
    </w:p>
    <w:p w14:paraId="32EFE2E6" w14:textId="169B9F9D"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[A broker buys and sells securities for clients, usually for a commission.  A broker can also be a dealer.]</w:t>
      </w:r>
    </w:p>
    <w:p w14:paraId="368ABE9E" w14:textId="34C77523"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[A dealer buys securities and resells them to clients. A dealer also can be a broker.]</w:t>
      </w:r>
    </w:p>
    <w:p w14:paraId="62C5FAEE" w14:textId="1007B9EC"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[A controlling person is [an individual who] [a company that] possesses the power to direct the management or policies of a business enterprise or of another person involved in the management or policymaking of the enterprise. A broker or a dealer may be a controlling person.]</w:t>
      </w:r>
    </w:p>
    <w:p w14:paraId="6FE2D0A5" w14:textId="605E934A"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[“In connection with” means that there was some relationship, or nexus, between the allegedly fraudulent conduct and the [sale] [purchase] of the securities. [The defendant’s conduct may be in connection with a purchase or sale of a security even if the defendant did not actually participate in any securities transaction.]]</w:t>
      </w:r>
    </w:p>
    <w:p w14:paraId="0DA96389" w14:textId="5933425E" w:rsidR="00902AC8" w:rsidRPr="00902AC8" w:rsidRDefault="00902AC8" w:rsidP="00902AC8">
      <w:pPr>
        <w:autoSpaceDE w:val="0"/>
        <w:autoSpaceDN w:val="0"/>
        <w:adjustRightInd w:val="0"/>
        <w:rPr>
          <w:rFonts w:ascii="Times New Roman" w:hAnsi="Times New Roman" w:cs="Times New Roman"/>
          <w:b/>
          <w:bCs/>
          <w:sz w:val="24"/>
          <w:szCs w:val="24"/>
        </w:rPr>
      </w:pPr>
      <w:r w:rsidRPr="00902AC8">
        <w:rPr>
          <w:rFonts w:ascii="Times New Roman" w:hAnsi="Times New Roman" w:cs="Times New Roman"/>
          <w:sz w:val="24"/>
          <w:szCs w:val="24"/>
        </w:rPr>
        <w:lastRenderedPageBreak/>
        <w:tab/>
        <w:t>An instrumentality of interstate commerce includes the postal mails, e-mails, telephone, telegraph, telefax, interstate highway system, internet and similar methods of communication, and travel from one state to another within the United States.</w:t>
      </w:r>
    </w:p>
    <w:p w14:paraId="096AF34A" w14:textId="2CBB64D4" w:rsidR="00902AC8" w:rsidRPr="00902AC8" w:rsidRDefault="00902AC8" w:rsidP="00902AC8">
      <w:pPr>
        <w:autoSpaceDE w:val="0"/>
        <w:autoSpaceDN w:val="0"/>
        <w:adjustRightInd w:val="0"/>
        <w:jc w:val="center"/>
        <w:rPr>
          <w:rFonts w:ascii="Times New Roman" w:hAnsi="Times New Roman" w:cs="Times New Roman"/>
          <w:sz w:val="24"/>
          <w:szCs w:val="24"/>
        </w:rPr>
      </w:pPr>
      <w:r w:rsidRPr="00902AC8">
        <w:rPr>
          <w:rFonts w:ascii="Times New Roman" w:hAnsi="Times New Roman" w:cs="Times New Roman"/>
          <w:b/>
          <w:bCs/>
          <w:sz w:val="24"/>
          <w:szCs w:val="24"/>
        </w:rPr>
        <w:t>Comment</w:t>
      </w:r>
    </w:p>
    <w:p w14:paraId="1FA8244A" w14:textId="0D24474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“Materiality” is defined in Instruction 18.3.</w:t>
      </w:r>
    </w:p>
    <w:p w14:paraId="56A92631" w14:textId="66EE2B34"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Whether a specific financial instrument qualifies as a security can be a threshold issue. </w:t>
      </w:r>
      <w:r w:rsidRPr="00902AC8">
        <w:rPr>
          <w:rFonts w:ascii="Times New Roman" w:hAnsi="Times New Roman" w:cs="Times New Roman"/>
          <w:i/>
          <w:iCs/>
          <w:sz w:val="24"/>
          <w:szCs w:val="24"/>
        </w:rPr>
        <w:t>SEC v. Hui Feng</w:t>
      </w:r>
      <w:r w:rsidRPr="00902AC8">
        <w:rPr>
          <w:rFonts w:ascii="Times New Roman" w:hAnsi="Times New Roman" w:cs="Times New Roman"/>
          <w:sz w:val="24"/>
          <w:szCs w:val="24"/>
        </w:rPr>
        <w:t>, 935 F.3d 721, 728-729 (</w:t>
      </w:r>
      <w:r w:rsidRPr="00902AC8">
        <w:rPr>
          <w:rFonts w:ascii="Times New Roman" w:hAnsi="Times New Roman" w:cs="Times New Roman"/>
          <w:sz w:val="24"/>
          <w:szCs w:val="24"/>
          <w:highlight w:val="white"/>
        </w:rPr>
        <w:t>9th Cir.</w:t>
      </w:r>
      <w:r w:rsidRPr="00902AC8">
        <w:rPr>
          <w:rFonts w:ascii="Times New Roman" w:hAnsi="Times New Roman" w:cs="Times New Roman"/>
          <w:sz w:val="24"/>
          <w:szCs w:val="24"/>
        </w:rPr>
        <w:t xml:space="preserve"> 2019). This includes “investment contracts.” The Supreme Court’s decision in </w:t>
      </w:r>
      <w:r w:rsidRPr="00902AC8">
        <w:rPr>
          <w:rFonts w:ascii="Times New Roman" w:hAnsi="Times New Roman" w:cs="Times New Roman"/>
          <w:i/>
          <w:iCs/>
          <w:sz w:val="24"/>
          <w:szCs w:val="24"/>
        </w:rPr>
        <w:t>Howey</w:t>
      </w:r>
      <w:r w:rsidRPr="00902AC8">
        <w:rPr>
          <w:rFonts w:ascii="Times New Roman" w:hAnsi="Times New Roman" w:cs="Times New Roman"/>
          <w:sz w:val="24"/>
          <w:szCs w:val="24"/>
        </w:rPr>
        <w:t xml:space="preserve"> and later case law </w:t>
      </w:r>
      <w:proofErr w:type="gramStart"/>
      <w:r w:rsidRPr="00902AC8">
        <w:rPr>
          <w:rFonts w:ascii="Times New Roman" w:hAnsi="Times New Roman" w:cs="Times New Roman"/>
          <w:sz w:val="24"/>
          <w:szCs w:val="24"/>
        </w:rPr>
        <w:t>hold</w:t>
      </w:r>
      <w:proofErr w:type="gramEnd"/>
      <w:r w:rsidRPr="00902AC8">
        <w:rPr>
          <w:rFonts w:ascii="Times New Roman" w:hAnsi="Times New Roman" w:cs="Times New Roman"/>
          <w:sz w:val="24"/>
          <w:szCs w:val="24"/>
        </w:rPr>
        <w:t xml:space="preserve"> that an “investment contract” exists when there is the investment of money in a common enterprise with a reasonable expectation of profits to be derived from the efforts of others. </w:t>
      </w:r>
      <w:r w:rsidRPr="00902AC8">
        <w:rPr>
          <w:rFonts w:ascii="Times New Roman" w:hAnsi="Times New Roman" w:cs="Times New Roman"/>
          <w:i/>
          <w:iCs/>
          <w:sz w:val="24"/>
          <w:szCs w:val="24"/>
        </w:rPr>
        <w:t>See SEC v. W.J. Howey Co.</w:t>
      </w:r>
      <w:r w:rsidRPr="00902AC8">
        <w:rPr>
          <w:rFonts w:ascii="Times New Roman" w:hAnsi="Times New Roman" w:cs="Times New Roman"/>
          <w:sz w:val="24"/>
          <w:szCs w:val="24"/>
        </w:rPr>
        <w:t xml:space="preserve">, 328 U.S. 298-99 (1946); </w:t>
      </w:r>
      <w:r w:rsidRPr="00902AC8">
        <w:rPr>
          <w:rFonts w:ascii="Times New Roman" w:hAnsi="Times New Roman" w:cs="Times New Roman"/>
          <w:i/>
          <w:iCs/>
          <w:sz w:val="24"/>
          <w:szCs w:val="24"/>
        </w:rPr>
        <w:t>United Housing Fund., Inc. v. Forman</w:t>
      </w:r>
      <w:r w:rsidRPr="00902AC8">
        <w:rPr>
          <w:rFonts w:ascii="Times New Roman" w:hAnsi="Times New Roman" w:cs="Times New Roman"/>
          <w:sz w:val="24"/>
          <w:szCs w:val="24"/>
        </w:rPr>
        <w:t xml:space="preserve">, 421 U.S. 837, 851-852 (1975). Courts applying </w:t>
      </w:r>
      <w:r w:rsidRPr="00902AC8">
        <w:rPr>
          <w:rFonts w:ascii="Times New Roman" w:hAnsi="Times New Roman" w:cs="Times New Roman"/>
          <w:i/>
          <w:iCs/>
          <w:sz w:val="24"/>
          <w:szCs w:val="24"/>
        </w:rPr>
        <w:t>Howey</w:t>
      </w:r>
      <w:r w:rsidRPr="00902AC8">
        <w:rPr>
          <w:rFonts w:ascii="Times New Roman" w:hAnsi="Times New Roman" w:cs="Times New Roman"/>
          <w:sz w:val="24"/>
          <w:szCs w:val="24"/>
        </w:rPr>
        <w:t xml:space="preserve"> “conduct an objective inquiry into the character of the instrument or transaction offered based on what the purchasers were ‘led to expect,’” including an analysis of the promotional materials associated with the transaction. </w:t>
      </w:r>
      <w:r w:rsidRPr="00902AC8">
        <w:rPr>
          <w:rFonts w:ascii="Times New Roman" w:hAnsi="Times New Roman" w:cs="Times New Roman"/>
          <w:i/>
          <w:iCs/>
          <w:sz w:val="24"/>
          <w:szCs w:val="24"/>
        </w:rPr>
        <w:t>Hui Feng</w:t>
      </w:r>
      <w:r w:rsidRPr="00902AC8">
        <w:rPr>
          <w:rFonts w:ascii="Times New Roman" w:hAnsi="Times New Roman" w:cs="Times New Roman"/>
          <w:sz w:val="24"/>
          <w:szCs w:val="24"/>
        </w:rPr>
        <w:t>, 935 F.3d at 729.</w:t>
      </w:r>
    </w:p>
    <w:p w14:paraId="3A529D93" w14:textId="27D5C3B9"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A statement of opinion does not constitute an “untrue statement of material fact” simply because the stated opinion ultimately proves incorrect. </w:t>
      </w:r>
      <w:r w:rsidRPr="00902AC8">
        <w:rPr>
          <w:rFonts w:ascii="Times New Roman" w:hAnsi="Times New Roman" w:cs="Times New Roman"/>
          <w:i/>
          <w:iCs/>
          <w:sz w:val="24"/>
          <w:szCs w:val="24"/>
        </w:rPr>
        <w:t>Omnicare, Inc. v. Laborers Dist. Council Const. Indus. Pension Fund</w:t>
      </w:r>
      <w:r w:rsidRPr="00902AC8">
        <w:rPr>
          <w:rFonts w:ascii="Times New Roman" w:hAnsi="Times New Roman" w:cs="Times New Roman"/>
          <w:sz w:val="24"/>
          <w:szCs w:val="24"/>
        </w:rPr>
        <w:t xml:space="preserve">, 575 U.S. 175, 176 (2015). For example, a statement that is merely aspirational—such as a corporate code of conduct—generally is not actionable because it cannot be said to be false. </w:t>
      </w:r>
      <w:r w:rsidRPr="00902AC8">
        <w:rPr>
          <w:rFonts w:ascii="Times New Roman" w:hAnsi="Times New Roman" w:cs="Times New Roman"/>
          <w:i/>
          <w:iCs/>
          <w:sz w:val="24"/>
          <w:szCs w:val="24"/>
        </w:rPr>
        <w:t xml:space="preserve">See Retail Wholesale &amp; </w:t>
      </w:r>
      <w:proofErr w:type="spellStart"/>
      <w:r w:rsidRPr="00902AC8">
        <w:rPr>
          <w:rFonts w:ascii="Times New Roman" w:hAnsi="Times New Roman" w:cs="Times New Roman"/>
          <w:i/>
          <w:iCs/>
          <w:sz w:val="24"/>
          <w:szCs w:val="24"/>
        </w:rPr>
        <w:t>Dep’t</w:t>
      </w:r>
      <w:proofErr w:type="spellEnd"/>
      <w:r w:rsidRPr="00902AC8">
        <w:rPr>
          <w:rFonts w:ascii="Times New Roman" w:hAnsi="Times New Roman" w:cs="Times New Roman"/>
          <w:i/>
          <w:iCs/>
          <w:sz w:val="24"/>
          <w:szCs w:val="24"/>
        </w:rPr>
        <w:t xml:space="preserve"> Store Union Local 338 Retirement Fund v. Hewlett-Packard Co.</w:t>
      </w:r>
      <w:r w:rsidRPr="00902AC8">
        <w:rPr>
          <w:rFonts w:ascii="Times New Roman" w:hAnsi="Times New Roman" w:cs="Times New Roman"/>
          <w:sz w:val="24"/>
          <w:szCs w:val="24"/>
        </w:rPr>
        <w:t xml:space="preserve">, 845 F.3d 1268, 1275-76 (9th Cir. 2017). But an opinion is actionable as a false statement if the speaker does not sincerely hold the view or belief expressed regarding the material representation or if the opinion contains a material, verifiable statement of fact that is untrue. </w:t>
      </w:r>
      <w:r w:rsidRPr="00902AC8">
        <w:rPr>
          <w:rFonts w:ascii="Times New Roman" w:hAnsi="Times New Roman" w:cs="Times New Roman"/>
          <w:i/>
          <w:iCs/>
          <w:sz w:val="24"/>
          <w:szCs w:val="24"/>
        </w:rPr>
        <w:t>Omnicare</w:t>
      </w:r>
      <w:r w:rsidRPr="00902AC8">
        <w:rPr>
          <w:rFonts w:ascii="Times New Roman" w:hAnsi="Times New Roman" w:cs="Times New Roman"/>
          <w:sz w:val="24"/>
          <w:szCs w:val="24"/>
        </w:rPr>
        <w:t xml:space="preserve">, 575 U.S. at 183-85. Further, an opinion may be actionable if the speaker omits material facts necessary to make the opinion not misleading. </w:t>
      </w:r>
      <w:r w:rsidRPr="00902AC8">
        <w:rPr>
          <w:rFonts w:ascii="Times New Roman" w:hAnsi="Times New Roman" w:cs="Times New Roman"/>
          <w:i/>
          <w:iCs/>
          <w:sz w:val="24"/>
          <w:szCs w:val="24"/>
        </w:rPr>
        <w:t xml:space="preserve">Id. </w:t>
      </w:r>
      <w:r w:rsidRPr="00902AC8">
        <w:rPr>
          <w:rFonts w:ascii="Times New Roman" w:hAnsi="Times New Roman" w:cs="Times New Roman"/>
          <w:sz w:val="24"/>
          <w:szCs w:val="24"/>
        </w:rPr>
        <w:t xml:space="preserve">at 185-91. When the omission of a fact, taken in its full context, makes an opinion misleading to a reasonable investor, securities law “creates liability only for the omission of material facts that cannot be squared with such a fair reading.” </w:t>
      </w:r>
      <w:r w:rsidRPr="00902AC8">
        <w:rPr>
          <w:rFonts w:ascii="Times New Roman" w:hAnsi="Times New Roman" w:cs="Times New Roman"/>
          <w:i/>
          <w:iCs/>
          <w:sz w:val="24"/>
          <w:szCs w:val="24"/>
        </w:rPr>
        <w:t>Id</w:t>
      </w:r>
      <w:r w:rsidRPr="00902AC8">
        <w:rPr>
          <w:rFonts w:ascii="Times New Roman" w:hAnsi="Times New Roman" w:cs="Times New Roman"/>
          <w:sz w:val="24"/>
          <w:szCs w:val="24"/>
        </w:rPr>
        <w:t xml:space="preserve">. at 190-91. Although </w:t>
      </w:r>
      <w:r w:rsidRPr="00902AC8">
        <w:rPr>
          <w:rFonts w:ascii="Times New Roman" w:hAnsi="Times New Roman" w:cs="Times New Roman"/>
          <w:i/>
          <w:iCs/>
          <w:sz w:val="24"/>
          <w:szCs w:val="24"/>
        </w:rPr>
        <w:t xml:space="preserve">Omnicare </w:t>
      </w:r>
      <w:r w:rsidRPr="00902AC8">
        <w:rPr>
          <w:rFonts w:ascii="Times New Roman" w:hAnsi="Times New Roman" w:cs="Times New Roman"/>
          <w:sz w:val="24"/>
          <w:szCs w:val="24"/>
        </w:rPr>
        <w:t xml:space="preserve">was decided under § 11 of the Securities Act of 1933, the Ninth Circuit has clarified that the pleading requirements set forth in </w:t>
      </w:r>
      <w:r w:rsidRPr="00902AC8">
        <w:rPr>
          <w:rFonts w:ascii="Times New Roman" w:hAnsi="Times New Roman" w:cs="Times New Roman"/>
          <w:i/>
          <w:iCs/>
          <w:sz w:val="24"/>
          <w:szCs w:val="24"/>
        </w:rPr>
        <w:t xml:space="preserve">Omnicare </w:t>
      </w:r>
      <w:r w:rsidRPr="00902AC8">
        <w:rPr>
          <w:rFonts w:ascii="Times New Roman" w:hAnsi="Times New Roman" w:cs="Times New Roman"/>
          <w:sz w:val="24"/>
          <w:szCs w:val="24"/>
        </w:rPr>
        <w:t xml:space="preserve">apply to claims under § 10(b) of the 1934 Act and Rule 10b-5. </w:t>
      </w:r>
      <w:r w:rsidRPr="00902AC8">
        <w:rPr>
          <w:rFonts w:ascii="Times New Roman" w:hAnsi="Times New Roman" w:cs="Times New Roman"/>
          <w:i/>
          <w:iCs/>
          <w:sz w:val="24"/>
          <w:szCs w:val="24"/>
        </w:rPr>
        <w:t>City of Dearborn Heights Act 345 Police &amp; Fire Ret. Sys. v. Align Tech., Inc</w:t>
      </w:r>
      <w:r w:rsidRPr="00902AC8">
        <w:rPr>
          <w:rFonts w:ascii="Times New Roman" w:hAnsi="Times New Roman" w:cs="Times New Roman"/>
          <w:sz w:val="24"/>
          <w:szCs w:val="24"/>
        </w:rPr>
        <w:t xml:space="preserve">., 856 F.3d 605, 616 (9th Cir. 2017); </w:t>
      </w:r>
      <w:r w:rsidRPr="00902AC8">
        <w:rPr>
          <w:rFonts w:ascii="Times New Roman" w:hAnsi="Times New Roman" w:cs="Times New Roman"/>
          <w:i/>
          <w:iCs/>
          <w:sz w:val="24"/>
          <w:szCs w:val="24"/>
        </w:rPr>
        <w:t>see also In re Alphabet, Inc. Sec. Litig</w:t>
      </w:r>
      <w:r w:rsidRPr="00902AC8">
        <w:rPr>
          <w:rFonts w:ascii="Times New Roman" w:hAnsi="Times New Roman" w:cs="Times New Roman"/>
          <w:sz w:val="24"/>
          <w:szCs w:val="24"/>
        </w:rPr>
        <w:t xml:space="preserve">., 1 F.4th 687, 699 (9th Cir. 2021); </w:t>
      </w:r>
      <w:r w:rsidRPr="00902AC8">
        <w:rPr>
          <w:rFonts w:ascii="Times New Roman" w:hAnsi="Times New Roman" w:cs="Times New Roman"/>
          <w:i/>
          <w:iCs/>
          <w:sz w:val="24"/>
          <w:szCs w:val="24"/>
        </w:rPr>
        <w:t xml:space="preserve">Glazer Cap. Mgmt. v. </w:t>
      </w:r>
      <w:proofErr w:type="spellStart"/>
      <w:r w:rsidRPr="00902AC8">
        <w:rPr>
          <w:rFonts w:ascii="Times New Roman" w:hAnsi="Times New Roman" w:cs="Times New Roman"/>
          <w:i/>
          <w:iCs/>
          <w:sz w:val="24"/>
          <w:szCs w:val="24"/>
        </w:rPr>
        <w:t>Forescout</w:t>
      </w:r>
      <w:proofErr w:type="spellEnd"/>
      <w:r w:rsidRPr="00902AC8">
        <w:rPr>
          <w:rFonts w:ascii="Times New Roman" w:hAnsi="Times New Roman" w:cs="Times New Roman"/>
          <w:i/>
          <w:iCs/>
          <w:sz w:val="24"/>
          <w:szCs w:val="24"/>
        </w:rPr>
        <w:t xml:space="preserve"> Techs., Inc.</w:t>
      </w:r>
      <w:r w:rsidRPr="00902AC8">
        <w:rPr>
          <w:rFonts w:ascii="Times New Roman" w:hAnsi="Times New Roman" w:cs="Times New Roman"/>
          <w:sz w:val="24"/>
          <w:szCs w:val="24"/>
        </w:rPr>
        <w:t xml:space="preserve">, 63 F.4th 747, 764, 771, 779 (9th Cir. 2023) (applying </w:t>
      </w:r>
      <w:r w:rsidRPr="00902AC8">
        <w:rPr>
          <w:rFonts w:ascii="Times New Roman" w:hAnsi="Times New Roman" w:cs="Times New Roman"/>
          <w:i/>
          <w:iCs/>
          <w:sz w:val="24"/>
          <w:szCs w:val="24"/>
        </w:rPr>
        <w:t xml:space="preserve">Omnicare </w:t>
      </w:r>
      <w:r w:rsidRPr="00902AC8">
        <w:rPr>
          <w:rFonts w:ascii="Times New Roman" w:hAnsi="Times New Roman" w:cs="Times New Roman"/>
          <w:sz w:val="24"/>
          <w:szCs w:val="24"/>
        </w:rPr>
        <w:t xml:space="preserve">in the context of § 10(b) and Rule 10b-5 claims); </w:t>
      </w:r>
      <w:r w:rsidRPr="00902AC8">
        <w:rPr>
          <w:rFonts w:ascii="Times New Roman" w:hAnsi="Times New Roman" w:cs="Times New Roman"/>
          <w:i/>
          <w:iCs/>
          <w:sz w:val="24"/>
          <w:szCs w:val="24"/>
        </w:rPr>
        <w:t>In re Cloudera</w:t>
      </w:r>
      <w:r w:rsidRPr="00902AC8">
        <w:rPr>
          <w:rFonts w:ascii="Times New Roman" w:hAnsi="Times New Roman" w:cs="Times New Roman"/>
          <w:sz w:val="24"/>
          <w:szCs w:val="24"/>
        </w:rPr>
        <w:t>, 121 F.4th 1180, 1187-89 (9th Cir. 2024) (explaining that “cloud-related” terminology, such as “cloud-native,” “native public cloud services,” and “hybrid cloud,” in the allegedly false statements was not pleaded with particularity because the “terms lack[ed] a plain or ordinary meaning,” and the plaintiff failed to plead facts supporting his definitions of the terms).</w:t>
      </w:r>
      <w:r w:rsidRPr="00902AC8">
        <w:rPr>
          <w:rFonts w:ascii="Times New Roman" w:hAnsi="Times New Roman" w:cs="Times New Roman"/>
          <w:sz w:val="24"/>
          <w:szCs w:val="24"/>
        </w:rPr>
        <w:tab/>
      </w:r>
    </w:p>
    <w:p w14:paraId="0D47BCB8" w14:textId="09EF38E4"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As to “omissions,” the Supreme Court has held that Rule 10b-5 is violated by nondisclosure only when there is a duty to disclose. </w:t>
      </w:r>
      <w:r w:rsidRPr="00902AC8">
        <w:rPr>
          <w:rFonts w:ascii="Times New Roman" w:hAnsi="Times New Roman" w:cs="Times New Roman"/>
          <w:i/>
          <w:iCs/>
          <w:sz w:val="24"/>
          <w:szCs w:val="24"/>
        </w:rPr>
        <w:t>See Basic Inc. v. Levinson</w:t>
      </w:r>
      <w:r w:rsidRPr="00902AC8">
        <w:rPr>
          <w:rFonts w:ascii="Times New Roman" w:hAnsi="Times New Roman" w:cs="Times New Roman"/>
          <w:sz w:val="24"/>
          <w:szCs w:val="24"/>
        </w:rPr>
        <w:t xml:space="preserve">, 485 U.S. 224, 239 n.17 (1988) (“Silence, absent a duty to disclose, is not misleading under Rule 10b-5.”). </w:t>
      </w:r>
      <w:r w:rsidRPr="00902AC8">
        <w:rPr>
          <w:rFonts w:ascii="Times New Roman" w:hAnsi="Times New Roman" w:cs="Times New Roman"/>
          <w:sz w:val="24"/>
          <w:szCs w:val="24"/>
        </w:rPr>
        <w:lastRenderedPageBreak/>
        <w:t xml:space="preserve">There is a duty to disclose “when necessary ‘to make . . . statements made, in the light of the circumstances under which they were made, not misleading.’” </w:t>
      </w:r>
      <w:proofErr w:type="spellStart"/>
      <w:r w:rsidRPr="00902AC8">
        <w:rPr>
          <w:rFonts w:ascii="Times New Roman" w:hAnsi="Times New Roman" w:cs="Times New Roman"/>
          <w:i/>
          <w:iCs/>
          <w:sz w:val="24"/>
          <w:szCs w:val="24"/>
        </w:rPr>
        <w:t>Matrixx</w:t>
      </w:r>
      <w:proofErr w:type="spellEnd"/>
      <w:r w:rsidRPr="00902AC8">
        <w:rPr>
          <w:rFonts w:ascii="Times New Roman" w:hAnsi="Times New Roman" w:cs="Times New Roman"/>
          <w:i/>
          <w:iCs/>
          <w:sz w:val="24"/>
          <w:szCs w:val="24"/>
        </w:rPr>
        <w:t xml:space="preserve"> Initiatives, Inc. v. </w:t>
      </w:r>
      <w:proofErr w:type="spellStart"/>
      <w:r w:rsidRPr="00902AC8">
        <w:rPr>
          <w:rFonts w:ascii="Times New Roman" w:hAnsi="Times New Roman" w:cs="Times New Roman"/>
          <w:i/>
          <w:iCs/>
          <w:sz w:val="24"/>
          <w:szCs w:val="24"/>
        </w:rPr>
        <w:t>Siracusano</w:t>
      </w:r>
      <w:proofErr w:type="spellEnd"/>
      <w:r w:rsidRPr="00902AC8">
        <w:rPr>
          <w:rFonts w:ascii="Times New Roman" w:hAnsi="Times New Roman" w:cs="Times New Roman"/>
          <w:sz w:val="24"/>
          <w:szCs w:val="24"/>
        </w:rPr>
        <w:t xml:space="preserve">, 563 U.S. 27, 44 (2011) (citing 17 C.F.R. § 240.10b-5(b)); </w:t>
      </w:r>
      <w:r w:rsidRPr="00902AC8">
        <w:rPr>
          <w:rFonts w:ascii="Times New Roman" w:hAnsi="Times New Roman" w:cs="Times New Roman"/>
          <w:i/>
          <w:iCs/>
          <w:sz w:val="24"/>
          <w:szCs w:val="24"/>
        </w:rPr>
        <w:t>see also Hanon v. Dataproducts Corp.</w:t>
      </w:r>
      <w:r w:rsidRPr="00902AC8">
        <w:rPr>
          <w:rFonts w:ascii="Times New Roman" w:hAnsi="Times New Roman" w:cs="Times New Roman"/>
          <w:sz w:val="24"/>
          <w:szCs w:val="24"/>
        </w:rPr>
        <w:t>, 976 F.2d 497, 504 (9th Cir. 1992) (“Rule 10b-5 imposes a duty to disclose material facts that are necessary to make disclosed statements, whether mandatory or volunteered, not misleading”). In addition, the Supreme Court has stated that “[p]</w:t>
      </w:r>
      <w:proofErr w:type="spellStart"/>
      <w:r w:rsidRPr="00902AC8">
        <w:rPr>
          <w:rFonts w:ascii="Times New Roman" w:hAnsi="Times New Roman" w:cs="Times New Roman"/>
          <w:sz w:val="24"/>
          <w:szCs w:val="24"/>
        </w:rPr>
        <w:t>ure</w:t>
      </w:r>
      <w:proofErr w:type="spellEnd"/>
      <w:r w:rsidRPr="00902AC8">
        <w:rPr>
          <w:rFonts w:ascii="Times New Roman" w:hAnsi="Times New Roman" w:cs="Times New Roman"/>
          <w:sz w:val="24"/>
          <w:szCs w:val="24"/>
        </w:rPr>
        <w:t xml:space="preserve"> omissions are not actionable under Rule 10b-5(b).” </w:t>
      </w:r>
      <w:r w:rsidRPr="00902AC8">
        <w:rPr>
          <w:rFonts w:ascii="Times New Roman" w:hAnsi="Times New Roman" w:cs="Times New Roman"/>
          <w:i/>
          <w:iCs/>
          <w:sz w:val="24"/>
          <w:szCs w:val="24"/>
        </w:rPr>
        <w:t>Macquarie Infrastructure Corp. v. Moab Partners</w:t>
      </w:r>
      <w:r w:rsidRPr="00902AC8">
        <w:rPr>
          <w:rFonts w:ascii="Times New Roman" w:hAnsi="Times New Roman" w:cs="Times New Roman"/>
          <w:sz w:val="24"/>
          <w:szCs w:val="24"/>
        </w:rPr>
        <w:t>, 601 U.S. 257, 260, 264 (2024) (holding that the failure to disclose information that Item 303 of SEC Regulation S-K requires be provided in periodic public filings does not, by itself, support a private action under Rule 10b-5(b); that rule prohibits only misrepresenting material facts and omitting material facts that are necessary to make the statements that are made not misleading).</w:t>
      </w:r>
    </w:p>
    <w:p w14:paraId="1C314EF6" w14:textId="59448CFB"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A duty of disclosure also may arise when the parties have “a fiduciary or agency relationship, prior dealings or circumstances such that one party has placed trust and confidence in the other.” </w:t>
      </w:r>
      <w:proofErr w:type="spellStart"/>
      <w:r w:rsidRPr="00902AC8">
        <w:rPr>
          <w:rFonts w:ascii="Times New Roman" w:hAnsi="Times New Roman" w:cs="Times New Roman"/>
          <w:i/>
          <w:iCs/>
          <w:sz w:val="24"/>
          <w:szCs w:val="24"/>
        </w:rPr>
        <w:t>Paracor</w:t>
      </w:r>
      <w:proofErr w:type="spellEnd"/>
      <w:r w:rsidRPr="00902AC8">
        <w:rPr>
          <w:rFonts w:ascii="Times New Roman" w:hAnsi="Times New Roman" w:cs="Times New Roman"/>
          <w:i/>
          <w:iCs/>
          <w:sz w:val="24"/>
          <w:szCs w:val="24"/>
        </w:rPr>
        <w:t xml:space="preserve"> Fin., Inc. v. Gen. Electric Capital Corp., </w:t>
      </w:r>
      <w:r w:rsidRPr="00902AC8">
        <w:rPr>
          <w:rFonts w:ascii="Times New Roman" w:hAnsi="Times New Roman" w:cs="Times New Roman"/>
          <w:sz w:val="24"/>
          <w:szCs w:val="24"/>
        </w:rPr>
        <w:t xml:space="preserve">96 F.3d 1151, 1157 (9th Cir. 1996) (citations and internal quotation marks omitted) (holding that a financer of a leveraged buyout of a corporation did not have a duty to disclose material information regarding the corporation to investors in the corporation’s debentures). A notable example of Rule 10b-5 liability for material omissions arising out of a fiduciary relationship is insider trading. </w:t>
      </w:r>
      <w:r w:rsidRPr="00902AC8">
        <w:rPr>
          <w:rFonts w:ascii="Times New Roman" w:hAnsi="Times New Roman" w:cs="Times New Roman"/>
          <w:i/>
          <w:iCs/>
          <w:sz w:val="24"/>
          <w:szCs w:val="24"/>
        </w:rPr>
        <w:t>See Chiarella v. United States</w:t>
      </w:r>
      <w:r w:rsidRPr="00902AC8">
        <w:rPr>
          <w:rFonts w:ascii="Times New Roman" w:hAnsi="Times New Roman" w:cs="Times New Roman"/>
          <w:sz w:val="24"/>
          <w:szCs w:val="24"/>
        </w:rPr>
        <w:t>, 445 U.S. 222, 228 (1980) (recognizing that insider trading is actionable under Section 10(b) because “a relationship of trust and confidence [exists] between the shareholders of a corporation and those insiders who have obtained confidential information by reason of their position with that corporation”). It bears emphasis, however, that a trust relationship is not essential to establishing liability for failure to disclose under Rule 10b-5; a defendant can assume a duty to disclose by “affirmatively tell[</w:t>
      </w:r>
      <w:proofErr w:type="spellStart"/>
      <w:r w:rsidRPr="00902AC8">
        <w:rPr>
          <w:rFonts w:ascii="Times New Roman" w:hAnsi="Times New Roman" w:cs="Times New Roman"/>
          <w:sz w:val="24"/>
          <w:szCs w:val="24"/>
        </w:rPr>
        <w:t>ing</w:t>
      </w:r>
      <w:proofErr w:type="spellEnd"/>
      <w:r w:rsidRPr="00902AC8">
        <w:rPr>
          <w:rFonts w:ascii="Times New Roman" w:hAnsi="Times New Roman" w:cs="Times New Roman"/>
          <w:sz w:val="24"/>
          <w:szCs w:val="24"/>
        </w:rPr>
        <w:t xml:space="preserve">] a misleading half-truth about a material fact to a potential investor[,] . . . independent of any responsibilities arising from a trust relationship.” </w:t>
      </w:r>
      <w:r w:rsidRPr="00902AC8">
        <w:rPr>
          <w:rFonts w:ascii="Times New Roman" w:hAnsi="Times New Roman" w:cs="Times New Roman"/>
          <w:i/>
          <w:iCs/>
          <w:sz w:val="24"/>
          <w:szCs w:val="24"/>
        </w:rPr>
        <w:t xml:space="preserve">United States v. </w:t>
      </w:r>
      <w:proofErr w:type="spellStart"/>
      <w:r w:rsidRPr="00902AC8">
        <w:rPr>
          <w:rFonts w:ascii="Times New Roman" w:hAnsi="Times New Roman" w:cs="Times New Roman"/>
          <w:i/>
          <w:iCs/>
          <w:sz w:val="24"/>
          <w:szCs w:val="24"/>
        </w:rPr>
        <w:t>Laurienti</w:t>
      </w:r>
      <w:proofErr w:type="spellEnd"/>
      <w:r w:rsidRPr="00902AC8">
        <w:rPr>
          <w:rFonts w:ascii="Times New Roman" w:hAnsi="Times New Roman" w:cs="Times New Roman"/>
          <w:sz w:val="24"/>
          <w:szCs w:val="24"/>
        </w:rPr>
        <w:t>, 611 F.3d 530, 541 (9th Cir. 2010).</w:t>
      </w:r>
      <w:r w:rsidRPr="00902AC8">
        <w:rPr>
          <w:rFonts w:ascii="Times New Roman" w:hAnsi="Times New Roman" w:cs="Times New Roman"/>
          <w:sz w:val="24"/>
          <w:szCs w:val="24"/>
        </w:rPr>
        <w:tab/>
      </w:r>
    </w:p>
    <w:p w14:paraId="148FAA7C" w14:textId="78F0B1B5"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Regarding “brokers,” the Ninth Circuit has used the totality-of-the-circumstances approach. </w:t>
      </w:r>
      <w:r w:rsidRPr="00902AC8">
        <w:rPr>
          <w:rFonts w:ascii="Times New Roman" w:hAnsi="Times New Roman" w:cs="Times New Roman"/>
          <w:i/>
          <w:iCs/>
          <w:sz w:val="24"/>
          <w:szCs w:val="24"/>
        </w:rPr>
        <w:t>See Hui Feng</w:t>
      </w:r>
      <w:r w:rsidRPr="00902AC8">
        <w:rPr>
          <w:rFonts w:ascii="Times New Roman" w:hAnsi="Times New Roman" w:cs="Times New Roman"/>
          <w:sz w:val="24"/>
          <w:szCs w:val="24"/>
        </w:rPr>
        <w:t xml:space="preserve">, 935 F.3d at 731-31. In determining if an individual acted as a broker, courts may consider whether that individual: </w:t>
      </w:r>
    </w:p>
    <w:p w14:paraId="668C23D9" w14:textId="7777777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(1) is an employee of the issuer of the </w:t>
      </w:r>
      <w:proofErr w:type="gramStart"/>
      <w:r w:rsidRPr="00902AC8">
        <w:rPr>
          <w:rFonts w:ascii="Times New Roman" w:hAnsi="Times New Roman" w:cs="Times New Roman"/>
          <w:sz w:val="24"/>
          <w:szCs w:val="24"/>
        </w:rPr>
        <w:t>security;</w:t>
      </w:r>
      <w:proofErr w:type="gramEnd"/>
      <w:r w:rsidRPr="00902AC8">
        <w:rPr>
          <w:rFonts w:ascii="Times New Roman" w:hAnsi="Times New Roman" w:cs="Times New Roman"/>
          <w:sz w:val="24"/>
          <w:szCs w:val="24"/>
        </w:rPr>
        <w:t xml:space="preserve"> </w:t>
      </w:r>
    </w:p>
    <w:p w14:paraId="29481CA4" w14:textId="7777777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(2) received transaction-based income such as commissions rather than a </w:t>
      </w:r>
      <w:proofErr w:type="gramStart"/>
      <w:r w:rsidRPr="00902AC8">
        <w:rPr>
          <w:rFonts w:ascii="Times New Roman" w:hAnsi="Times New Roman" w:cs="Times New Roman"/>
          <w:sz w:val="24"/>
          <w:szCs w:val="24"/>
        </w:rPr>
        <w:t>salary;</w:t>
      </w:r>
      <w:proofErr w:type="gramEnd"/>
      <w:r w:rsidRPr="00902AC8">
        <w:rPr>
          <w:rFonts w:ascii="Times New Roman" w:hAnsi="Times New Roman" w:cs="Times New Roman"/>
          <w:sz w:val="24"/>
          <w:szCs w:val="24"/>
        </w:rPr>
        <w:t xml:space="preserve"> </w:t>
      </w:r>
    </w:p>
    <w:p w14:paraId="4E7F8D21" w14:textId="7777777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(3) sells or sold securities from other </w:t>
      </w:r>
      <w:proofErr w:type="gramStart"/>
      <w:r w:rsidRPr="00902AC8">
        <w:rPr>
          <w:rFonts w:ascii="Times New Roman" w:hAnsi="Times New Roman" w:cs="Times New Roman"/>
          <w:sz w:val="24"/>
          <w:szCs w:val="24"/>
        </w:rPr>
        <w:t>issuers;</w:t>
      </w:r>
      <w:proofErr w:type="gramEnd"/>
      <w:r w:rsidRPr="00902AC8">
        <w:rPr>
          <w:rFonts w:ascii="Times New Roman" w:hAnsi="Times New Roman" w:cs="Times New Roman"/>
          <w:sz w:val="24"/>
          <w:szCs w:val="24"/>
        </w:rPr>
        <w:t xml:space="preserve"> </w:t>
      </w:r>
    </w:p>
    <w:p w14:paraId="0E5604C1" w14:textId="7777777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(4) was involved in negotiations between issuers and </w:t>
      </w:r>
      <w:proofErr w:type="gramStart"/>
      <w:r w:rsidRPr="00902AC8">
        <w:rPr>
          <w:rFonts w:ascii="Times New Roman" w:hAnsi="Times New Roman" w:cs="Times New Roman"/>
          <w:sz w:val="24"/>
          <w:szCs w:val="24"/>
        </w:rPr>
        <w:t>investors;</w:t>
      </w:r>
      <w:proofErr w:type="gramEnd"/>
      <w:r w:rsidRPr="00902AC8">
        <w:rPr>
          <w:rFonts w:ascii="Times New Roman" w:hAnsi="Times New Roman" w:cs="Times New Roman"/>
          <w:sz w:val="24"/>
          <w:szCs w:val="24"/>
        </w:rPr>
        <w:t xml:space="preserve"> </w:t>
      </w:r>
    </w:p>
    <w:p w14:paraId="15012AD2" w14:textId="7777777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(5) </w:t>
      </w:r>
      <w:proofErr w:type="spellStart"/>
      <w:r w:rsidRPr="00902AC8">
        <w:rPr>
          <w:rFonts w:ascii="Times New Roman" w:hAnsi="Times New Roman" w:cs="Times New Roman"/>
          <w:sz w:val="24"/>
          <w:szCs w:val="24"/>
        </w:rPr>
        <w:t>advertis</w:t>
      </w:r>
      <w:proofErr w:type="spellEnd"/>
      <w:r w:rsidRPr="00902AC8">
        <w:rPr>
          <w:rFonts w:ascii="Times New Roman" w:hAnsi="Times New Roman" w:cs="Times New Roman"/>
          <w:sz w:val="24"/>
          <w:szCs w:val="24"/>
        </w:rPr>
        <w:t xml:space="preserve">[ed] for </w:t>
      </w:r>
      <w:proofErr w:type="gramStart"/>
      <w:r w:rsidRPr="00902AC8">
        <w:rPr>
          <w:rFonts w:ascii="Times New Roman" w:hAnsi="Times New Roman" w:cs="Times New Roman"/>
          <w:sz w:val="24"/>
          <w:szCs w:val="24"/>
        </w:rPr>
        <w:t>clients;</w:t>
      </w:r>
      <w:proofErr w:type="gramEnd"/>
      <w:r w:rsidRPr="00902AC8">
        <w:rPr>
          <w:rFonts w:ascii="Times New Roman" w:hAnsi="Times New Roman" w:cs="Times New Roman"/>
          <w:sz w:val="24"/>
          <w:szCs w:val="24"/>
        </w:rPr>
        <w:t xml:space="preserve"> </w:t>
      </w:r>
    </w:p>
    <w:p w14:paraId="68D4716F" w14:textId="7777777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(6) gave advice or made valuations regarding the </w:t>
      </w:r>
      <w:proofErr w:type="gramStart"/>
      <w:r w:rsidRPr="00902AC8">
        <w:rPr>
          <w:rFonts w:ascii="Times New Roman" w:hAnsi="Times New Roman" w:cs="Times New Roman"/>
          <w:sz w:val="24"/>
          <w:szCs w:val="24"/>
        </w:rPr>
        <w:t>investment;</w:t>
      </w:r>
      <w:proofErr w:type="gramEnd"/>
      <w:r w:rsidRPr="00902AC8">
        <w:rPr>
          <w:rFonts w:ascii="Times New Roman" w:hAnsi="Times New Roman" w:cs="Times New Roman"/>
          <w:sz w:val="24"/>
          <w:szCs w:val="24"/>
        </w:rPr>
        <w:t xml:space="preserve"> </w:t>
      </w:r>
    </w:p>
    <w:p w14:paraId="3910A38A" w14:textId="7777777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(7) was an active finder of investors; and </w:t>
      </w:r>
    </w:p>
    <w:p w14:paraId="223BDA5E" w14:textId="432B6590"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(8) regularly participates in securities transactions.</w:t>
      </w:r>
    </w:p>
    <w:p w14:paraId="256C51E0" w14:textId="1AE94897"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i/>
          <w:iCs/>
          <w:sz w:val="24"/>
          <w:szCs w:val="24"/>
        </w:rPr>
        <w:lastRenderedPageBreak/>
        <w:t>Id.</w:t>
      </w:r>
    </w:p>
    <w:p w14:paraId="253FA397" w14:textId="6C660649" w:rsidR="00902AC8" w:rsidRPr="00902AC8" w:rsidRDefault="00902AC8" w:rsidP="00902AC8">
      <w:pPr>
        <w:autoSpaceDE w:val="0"/>
        <w:autoSpaceDN w:val="0"/>
        <w:adjustRightInd w:val="0"/>
        <w:rPr>
          <w:rFonts w:ascii="Times New Roman" w:hAnsi="Times New Roman" w:cs="Times New Roman"/>
          <w:sz w:val="24"/>
          <w:szCs w:val="24"/>
        </w:rPr>
      </w:pPr>
      <w:r w:rsidRPr="00902AC8">
        <w:rPr>
          <w:rFonts w:ascii="Times New Roman" w:hAnsi="Times New Roman" w:cs="Times New Roman"/>
          <w:sz w:val="24"/>
          <w:szCs w:val="24"/>
        </w:rPr>
        <w:tab/>
        <w:t xml:space="preserve">Regarding “controlling persons,” </w:t>
      </w:r>
      <w:r w:rsidRPr="00902AC8">
        <w:rPr>
          <w:rFonts w:ascii="Times New Roman" w:hAnsi="Times New Roman" w:cs="Times New Roman"/>
          <w:i/>
          <w:iCs/>
          <w:sz w:val="24"/>
          <w:szCs w:val="24"/>
        </w:rPr>
        <w:t>see</w:t>
      </w:r>
      <w:r w:rsidRPr="00902AC8">
        <w:rPr>
          <w:rFonts w:ascii="Times New Roman" w:hAnsi="Times New Roman" w:cs="Times New Roman"/>
          <w:sz w:val="24"/>
          <w:szCs w:val="24"/>
        </w:rPr>
        <w:t xml:space="preserve"> Section 20(a) of the 1934 Act, 15 U.S.C. § 78f(a). </w:t>
      </w:r>
      <w:r w:rsidRPr="00902AC8">
        <w:rPr>
          <w:rFonts w:ascii="Times New Roman" w:hAnsi="Times New Roman" w:cs="Times New Roman"/>
          <w:i/>
          <w:iCs/>
          <w:sz w:val="24"/>
          <w:szCs w:val="24"/>
        </w:rPr>
        <w:t>See also</w:t>
      </w:r>
      <w:r w:rsidRPr="00902AC8">
        <w:rPr>
          <w:rFonts w:ascii="Times New Roman" w:hAnsi="Times New Roman" w:cs="Times New Roman"/>
          <w:sz w:val="24"/>
          <w:szCs w:val="24"/>
          <w:highlight w:val="white"/>
        </w:rPr>
        <w:t xml:space="preserve"> </w:t>
      </w:r>
      <w:r w:rsidRPr="00902AC8">
        <w:rPr>
          <w:rFonts w:ascii="Times New Roman" w:hAnsi="Times New Roman" w:cs="Times New Roman"/>
          <w:i/>
          <w:iCs/>
          <w:sz w:val="24"/>
          <w:szCs w:val="24"/>
          <w:highlight w:val="white"/>
        </w:rPr>
        <w:t>No. 84 Employer-Teamster Joint Council Pension Trust Fund v. America West Holding Corp.</w:t>
      </w:r>
      <w:r w:rsidRPr="00902AC8">
        <w:rPr>
          <w:rFonts w:ascii="Times New Roman" w:hAnsi="Times New Roman" w:cs="Times New Roman"/>
          <w:sz w:val="24"/>
          <w:szCs w:val="24"/>
          <w:highlight w:val="white"/>
        </w:rPr>
        <w:t>, 320 F.3d 920, 945 (9th Cir. 2003)</w:t>
      </w:r>
      <w:r w:rsidRPr="00902AC8">
        <w:rPr>
          <w:rFonts w:ascii="Times New Roman" w:hAnsi="Times New Roman" w:cs="Times New Roman"/>
          <w:sz w:val="24"/>
          <w:szCs w:val="24"/>
        </w:rPr>
        <w:t xml:space="preserve"> (discussing controlling person liability).</w:t>
      </w:r>
    </w:p>
    <w:p w14:paraId="0DCEC0E1" w14:textId="55B17692" w:rsidR="00902AC8" w:rsidRPr="00902AC8" w:rsidRDefault="00902AC8" w:rsidP="00902AC8">
      <w:pPr>
        <w:autoSpaceDE w:val="0"/>
        <w:autoSpaceDN w:val="0"/>
        <w:adjustRightInd w:val="0"/>
        <w:jc w:val="both"/>
        <w:rPr>
          <w:rFonts w:ascii="Times New Roman" w:hAnsi="Times New Roman" w:cs="Times New Roman"/>
          <w:sz w:val="24"/>
          <w:szCs w:val="24"/>
        </w:rPr>
      </w:pPr>
      <w:r w:rsidRPr="00902AC8">
        <w:rPr>
          <w:rFonts w:ascii="Times New Roman" w:hAnsi="Times New Roman" w:cs="Times New Roman"/>
          <w:sz w:val="24"/>
          <w:szCs w:val="24"/>
        </w:rPr>
        <w:tab/>
        <w:t>Regarding the phrase “in connection with,” the Ninth Circuit has noted:</w:t>
      </w:r>
    </w:p>
    <w:p w14:paraId="1C8F1022" w14:textId="060FA1E9" w:rsidR="00902AC8" w:rsidRPr="00902AC8" w:rsidRDefault="00902AC8" w:rsidP="00902AC8">
      <w:pPr>
        <w:autoSpaceDE w:val="0"/>
        <w:autoSpaceDN w:val="0"/>
        <w:adjustRightInd w:val="0"/>
        <w:ind w:left="720" w:right="720"/>
        <w:jc w:val="both"/>
        <w:rPr>
          <w:rFonts w:ascii="Times New Roman" w:hAnsi="Times New Roman" w:cs="Times New Roman"/>
          <w:sz w:val="24"/>
          <w:szCs w:val="24"/>
          <w:highlight w:val="white"/>
        </w:rPr>
      </w:pPr>
      <w:r w:rsidRPr="00902AC8">
        <w:rPr>
          <w:rFonts w:ascii="Times New Roman" w:hAnsi="Times New Roman" w:cs="Times New Roman"/>
          <w:sz w:val="24"/>
          <w:szCs w:val="24"/>
          <w:highlight w:val="white"/>
        </w:rPr>
        <w:t>To show a Rule 10b-5 violation, a private plaintiff must prove a “causal connection between a defendant’s misrepresentation and [the] plaintiff’s injury[,]” . . . a proximate relationship between the plaintiff’s injury and the purchase or sale of a security[,] . . . [and] a connection between the defendant’s alleged misrepresentation and the security at issue.</w:t>
      </w:r>
    </w:p>
    <w:p w14:paraId="1391FB88" w14:textId="5FF26477" w:rsidR="00902AC8" w:rsidRPr="00902AC8" w:rsidRDefault="00902AC8" w:rsidP="00902AC8">
      <w:pPr>
        <w:autoSpaceDE w:val="0"/>
        <w:autoSpaceDN w:val="0"/>
        <w:adjustRightInd w:val="0"/>
        <w:rPr>
          <w:rFonts w:ascii="Times New Roman" w:hAnsi="Times New Roman" w:cs="Times New Roman"/>
          <w:sz w:val="24"/>
          <w:szCs w:val="24"/>
          <w:highlight w:val="white"/>
        </w:rPr>
      </w:pPr>
      <w:r w:rsidRPr="00902AC8">
        <w:rPr>
          <w:rFonts w:ascii="Times New Roman" w:hAnsi="Times New Roman" w:cs="Times New Roman"/>
          <w:i/>
          <w:iCs/>
          <w:sz w:val="24"/>
          <w:szCs w:val="24"/>
          <w:highlight w:val="white"/>
        </w:rPr>
        <w:t xml:space="preserve">Levine v. </w:t>
      </w:r>
      <w:proofErr w:type="spellStart"/>
      <w:r w:rsidRPr="00902AC8">
        <w:rPr>
          <w:rFonts w:ascii="Times New Roman" w:hAnsi="Times New Roman" w:cs="Times New Roman"/>
          <w:i/>
          <w:iCs/>
          <w:sz w:val="24"/>
          <w:szCs w:val="24"/>
          <w:highlight w:val="white"/>
        </w:rPr>
        <w:t>Diamanthuset</w:t>
      </w:r>
      <w:proofErr w:type="spellEnd"/>
      <w:r w:rsidRPr="00902AC8">
        <w:rPr>
          <w:rFonts w:ascii="Times New Roman" w:hAnsi="Times New Roman" w:cs="Times New Roman"/>
          <w:i/>
          <w:iCs/>
          <w:sz w:val="24"/>
          <w:szCs w:val="24"/>
          <w:highlight w:val="white"/>
        </w:rPr>
        <w:t>, Inc.</w:t>
      </w:r>
      <w:r w:rsidRPr="00902AC8">
        <w:rPr>
          <w:rFonts w:ascii="Times New Roman" w:hAnsi="Times New Roman" w:cs="Times New Roman"/>
          <w:sz w:val="24"/>
          <w:szCs w:val="24"/>
          <w:highlight w:val="white"/>
        </w:rPr>
        <w:t xml:space="preserve">, 950 F.2d 1478, 1485-86 (9th Cir. 1991) (citations omitted) (first alteration in original). A defendant need not, however, have participated in any securities transaction so long as that defendant was engaged in fraudulent conduct that was “in connection with” a purchase or sale. </w:t>
      </w:r>
      <w:r w:rsidRPr="00902AC8">
        <w:rPr>
          <w:rFonts w:ascii="Times New Roman" w:hAnsi="Times New Roman" w:cs="Times New Roman"/>
          <w:i/>
          <w:iCs/>
          <w:sz w:val="24"/>
          <w:szCs w:val="24"/>
          <w:highlight w:val="white"/>
        </w:rPr>
        <w:t>See Superintendent of Ins. v. Bankers Life &amp; Cas. Co.</w:t>
      </w:r>
      <w:r w:rsidRPr="00902AC8">
        <w:rPr>
          <w:rFonts w:ascii="Times New Roman" w:hAnsi="Times New Roman" w:cs="Times New Roman"/>
          <w:sz w:val="24"/>
          <w:szCs w:val="24"/>
          <w:highlight w:val="white"/>
        </w:rPr>
        <w:t>, 404 U.S. 6, 12 (1971) (holding that fraudulent conduct is “in connection with” a purchase or sale if the alleged fraudulent conduct is “touching” the securities transaction).</w:t>
      </w:r>
    </w:p>
    <w:p w14:paraId="626B42AE" w14:textId="77777777" w:rsidR="00902AC8" w:rsidRPr="00902AC8" w:rsidRDefault="00902AC8" w:rsidP="00902AC8">
      <w:pPr>
        <w:autoSpaceDE w:val="0"/>
        <w:autoSpaceDN w:val="0"/>
        <w:adjustRightInd w:val="0"/>
        <w:rPr>
          <w:rFonts w:ascii="Times New Roman" w:hAnsi="Times New Roman" w:cs="Times New Roman"/>
          <w:sz w:val="24"/>
          <w:szCs w:val="24"/>
          <w:highlight w:val="white"/>
        </w:rPr>
      </w:pPr>
      <w:r w:rsidRPr="00902AC8">
        <w:rPr>
          <w:rFonts w:ascii="Times New Roman" w:hAnsi="Times New Roman" w:cs="Times New Roman"/>
          <w:sz w:val="24"/>
          <w:szCs w:val="24"/>
        </w:rPr>
        <w:tab/>
        <w:t xml:space="preserve">Regarding the phrase “instrumentality of interstate commerce,” it is not necessary that interstate mailings, interstate telephone calls, or other interstate use of instrumentalities of interstate commerce be proved; intrastate use of such instrumentalities of interstate commerce is sufficient to satisfy the jurisdictional requirements. </w:t>
      </w:r>
      <w:r w:rsidRPr="00902AC8">
        <w:rPr>
          <w:rFonts w:ascii="Times New Roman" w:hAnsi="Times New Roman" w:cs="Times New Roman"/>
          <w:i/>
          <w:iCs/>
          <w:sz w:val="24"/>
          <w:szCs w:val="24"/>
        </w:rPr>
        <w:t>Spilker v. Shayne Labs., Inc.</w:t>
      </w:r>
      <w:r w:rsidRPr="00902AC8">
        <w:rPr>
          <w:rFonts w:ascii="Times New Roman" w:hAnsi="Times New Roman" w:cs="Times New Roman"/>
          <w:sz w:val="24"/>
          <w:szCs w:val="24"/>
        </w:rPr>
        <w:t>, 520 F.2d 523, 526 (9th Cir. 1975).</w:t>
      </w:r>
    </w:p>
    <w:p w14:paraId="7258040A" w14:textId="47EA08D8" w:rsidR="00943F35" w:rsidRDefault="003021A8" w:rsidP="00902AC8">
      <w:pPr>
        <w:autoSpaceDE w:val="0"/>
        <w:autoSpaceDN w:val="0"/>
        <w:adjustRightInd w:val="0"/>
        <w:spacing w:after="0" w:line="240" w:lineRule="auto"/>
        <w:rPr>
          <w:rFonts w:ascii="Times New Roman" w:hAnsi="Times New Roman" w:cs="Times New Roman"/>
          <w:i/>
          <w:iCs/>
          <w:sz w:val="24"/>
          <w:szCs w:val="24"/>
        </w:rPr>
      </w:pPr>
      <w:r w:rsidRPr="00374DD7">
        <w:rPr>
          <w:rFonts w:ascii="Times New Roman" w:hAnsi="Times New Roman" w:cs="Times New Roman"/>
          <w:i/>
          <w:iCs/>
          <w:sz w:val="24"/>
          <w:szCs w:val="24"/>
        </w:rPr>
        <w:t xml:space="preserve"> </w:t>
      </w:r>
    </w:p>
    <w:p w14:paraId="25B4356C" w14:textId="4CFED11C" w:rsidR="003021A8" w:rsidRPr="00374DD7" w:rsidRDefault="00F457C4" w:rsidP="00943F35">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i/>
          <w:iCs/>
          <w:sz w:val="24"/>
          <w:szCs w:val="24"/>
        </w:rPr>
        <w:t xml:space="preserve">Revised </w:t>
      </w:r>
      <w:r w:rsidR="00455A9D">
        <w:rPr>
          <w:rFonts w:ascii="Times New Roman" w:hAnsi="Times New Roman" w:cs="Times New Roman"/>
          <w:i/>
          <w:iCs/>
          <w:sz w:val="24"/>
          <w:szCs w:val="24"/>
        </w:rPr>
        <w:t xml:space="preserve">June </w:t>
      </w:r>
      <w:r w:rsidR="00883F58">
        <w:rPr>
          <w:rFonts w:ascii="Times New Roman" w:hAnsi="Times New Roman" w:cs="Times New Roman"/>
          <w:i/>
          <w:iCs/>
          <w:sz w:val="24"/>
          <w:szCs w:val="24"/>
        </w:rPr>
        <w:t>2025</w:t>
      </w:r>
    </w:p>
    <w:p w14:paraId="110D8E53" w14:textId="2F5872AB" w:rsidR="00C30C2C" w:rsidRDefault="00C30C2C" w:rsidP="003021A8"/>
    <w:sectPr w:rsidR="00C30C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A8"/>
    <w:rsid w:val="000E5EAC"/>
    <w:rsid w:val="001F1832"/>
    <w:rsid w:val="00235BE2"/>
    <w:rsid w:val="00235FFF"/>
    <w:rsid w:val="003021A8"/>
    <w:rsid w:val="00455A9D"/>
    <w:rsid w:val="004922F2"/>
    <w:rsid w:val="00695F6A"/>
    <w:rsid w:val="006E771A"/>
    <w:rsid w:val="00883F58"/>
    <w:rsid w:val="00902AC8"/>
    <w:rsid w:val="00943F35"/>
    <w:rsid w:val="00970160"/>
    <w:rsid w:val="00BC67C9"/>
    <w:rsid w:val="00BE0F07"/>
    <w:rsid w:val="00C30C2C"/>
    <w:rsid w:val="00C64593"/>
    <w:rsid w:val="00D56588"/>
    <w:rsid w:val="00DB7C92"/>
    <w:rsid w:val="00EB3BF7"/>
    <w:rsid w:val="00F457C4"/>
    <w:rsid w:val="00F972B8"/>
    <w:rsid w:val="00FD25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54431"/>
  <w15:chartTrackingRefBased/>
  <w15:docId w15:val="{10EC6378-9D8A-44AF-8AFC-1F26A3CA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1A8"/>
    <w:pPr>
      <w:spacing w:after="160" w:line="259" w:lineRule="auto"/>
    </w:pPr>
    <w:rPr>
      <w:rFonts w:asciiTheme="minorHAnsi" w:hAnsiTheme="minorHAnsi" w:cstheme="minorBidi"/>
      <w:kern w:val="0"/>
      <w:sz w:val="22"/>
      <w:szCs w:val="22"/>
      <w14:ligatures w14:val="none"/>
    </w:rPr>
  </w:style>
  <w:style w:type="paragraph" w:styleId="Heading1">
    <w:name w:val="heading 1"/>
    <w:aliases w:val="Heading"/>
    <w:basedOn w:val="Normal"/>
    <w:next w:val="Normal"/>
    <w:link w:val="Heading1Char"/>
    <w:uiPriority w:val="9"/>
    <w:qFormat/>
    <w:rsid w:val="006E771A"/>
    <w:pPr>
      <w:keepNext/>
      <w:keepLines/>
      <w:spacing w:before="240" w:after="0"/>
      <w:outlineLvl w:val="0"/>
    </w:pPr>
    <w:rPr>
      <w:rFonts w:ascii="Times New Roman" w:eastAsiaTheme="majorEastAsia" w:hAnsi="Times New Roman" w:cstheme="majorBidi"/>
      <w:b/>
      <w:color w:val="000000" w:themeColor="text1"/>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uiPriority w:val="9"/>
    <w:rsid w:val="006E771A"/>
    <w:rPr>
      <w:rFonts w:eastAsiaTheme="majorEastAsia" w:cstheme="majorBidi"/>
      <w:b/>
      <w:color w:val="000000" w:themeColor="text1"/>
      <w:sz w:val="28"/>
      <w:szCs w:val="32"/>
    </w:rPr>
  </w:style>
  <w:style w:type="paragraph" w:styleId="Revision">
    <w:name w:val="Revision"/>
    <w:hidden/>
    <w:uiPriority w:val="99"/>
    <w:semiHidden/>
    <w:rsid w:val="00883F58"/>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1645</Words>
  <Characters>9378</Characters>
  <Application>Microsoft Office Word</Application>
  <DocSecurity>0</DocSecurity>
  <Lines>78</Lines>
  <Paragraphs>22</Paragraphs>
  <ScaleCrop>false</ScaleCrop>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Samriddhi Rana</dc:creator>
  <cp:keywords/>
  <dc:description/>
  <cp:lastModifiedBy>Samriddhi Rana</cp:lastModifiedBy>
  <cp:revision>10</cp:revision>
  <dcterms:created xsi:type="dcterms:W3CDTF">2024-10-30T18:22:00Z</dcterms:created>
  <dcterms:modified xsi:type="dcterms:W3CDTF">2025-10-14T23:05:00Z</dcterms:modified>
</cp:coreProperties>
</file>