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7912" w14:textId="77777777" w:rsidR="000071DE" w:rsidRPr="00374DD7" w:rsidRDefault="000071DE" w:rsidP="000071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9646605"/>
      <w:bookmarkStart w:id="1" w:name="_Toc175067672"/>
      <w:r w:rsidRPr="00374DD7">
        <w:rPr>
          <w:rFonts w:ascii="Times New Roman" w:hAnsi="Times New Roman" w:cs="Times New Roman"/>
          <w:b/>
          <w:bCs/>
          <w:sz w:val="24"/>
          <w:szCs w:val="24"/>
        </w:rPr>
        <w:t>18.2 Securities—Rule 10b-5 Claim</w:t>
      </w:r>
      <w:bookmarkEnd w:id="0"/>
      <w:bookmarkEnd w:id="1"/>
    </w:p>
    <w:p w14:paraId="505A55EB" w14:textId="77777777" w:rsidR="000071DE" w:rsidRPr="00374DD7" w:rsidRDefault="000071DE" w:rsidP="000071D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85FC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alleges that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 xml:space="preserve">] defrauded [him] [her] </w:t>
      </w:r>
      <w:bookmarkStart w:id="2" w:name="_Hlk166318306"/>
      <w:r w:rsidRPr="0041556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other</w:t>
      </w:r>
      <w:proofErr w:type="gramEnd"/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pronoun</w:t>
      </w:r>
      <w:r w:rsidRPr="00415569">
        <w:rPr>
          <w:rFonts w:ascii="Times New Roman" w:hAnsi="Times New Roman" w:cs="Times New Roman"/>
          <w:sz w:val="24"/>
          <w:szCs w:val="24"/>
        </w:rPr>
        <w:t>]</w:t>
      </w:r>
      <w:bookmarkEnd w:id="2"/>
      <w:r w:rsidRPr="00415569">
        <w:rPr>
          <w:rFonts w:ascii="Times New Roman" w:hAnsi="Times New Roman" w:cs="Times New Roman"/>
          <w:sz w:val="24"/>
          <w:szCs w:val="24"/>
        </w:rPr>
        <w:t xml:space="preserve"> by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describe the plaintiff’s 10b-5 claim</w:t>
      </w:r>
      <w:r w:rsidRPr="00415569">
        <w:rPr>
          <w:rFonts w:ascii="Times New Roman" w:hAnsi="Times New Roman" w:cs="Times New Roman"/>
          <w:sz w:val="24"/>
          <w:szCs w:val="24"/>
        </w:rPr>
        <w:t>]. This is referred to as “the plaintiff’s 10b-5 claim.”</w:t>
      </w:r>
    </w:p>
    <w:p w14:paraId="44EEDAE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0BF44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To succeed on this claim,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the burden of proving each of the following five elements by a preponderance of the evidence:</w:t>
      </w:r>
    </w:p>
    <w:p w14:paraId="26C64409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CC6D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First,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 xml:space="preserve">] [made an untrue statement of a material fact] [omitted a material fact necessary under the circumstances to keep the statements that were made from being misleading] in connection with the [purchase] [sale] of 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securities;</w:t>
      </w:r>
      <w:proofErr w:type="gramEnd"/>
    </w:p>
    <w:p w14:paraId="13D4069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80D66FB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Second,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acted [knowingly] [knowingly or recklessly] [recklessly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];</w:t>
      </w:r>
      <w:proofErr w:type="gramEnd"/>
    </w:p>
    <w:p w14:paraId="453497C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DAEA88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Third,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[used] [caused the use of] [an instrumentality of interstate commerce, such as mail, telephone, or internet] [a facility of a national securities exchange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] in connection with the</w:t>
      </w:r>
      <w:proofErr w:type="gramEnd"/>
      <w:r w:rsidRPr="00415569">
        <w:rPr>
          <w:rFonts w:ascii="Times New Roman" w:hAnsi="Times New Roman" w:cs="Times New Roman"/>
          <w:sz w:val="24"/>
          <w:szCs w:val="24"/>
        </w:rPr>
        <w:t xml:space="preserve"> [purchase] [sale] of securities, regardless of whether the [instrumentality] [facility] itself was used to make an untrue statement or a material </w:t>
      </w:r>
      <w:proofErr w:type="gramStart"/>
      <w:r w:rsidRPr="00415569">
        <w:rPr>
          <w:rFonts w:ascii="Times New Roman" w:hAnsi="Times New Roman" w:cs="Times New Roman"/>
          <w:sz w:val="24"/>
          <w:szCs w:val="24"/>
        </w:rPr>
        <w:t>omission;</w:t>
      </w:r>
      <w:proofErr w:type="gramEnd"/>
    </w:p>
    <w:p w14:paraId="0083D54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5C98D76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Fourth,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justifiably relied on [the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untrue statement of a material fact] [the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omission to state a necessary material fact] in [buying] [selling] securities; and</w:t>
      </w:r>
    </w:p>
    <w:p w14:paraId="6E8CA4D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49CE5A3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Fifth,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]’s [misrepresentation] [omission] caused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to suffer damages.</w:t>
      </w:r>
    </w:p>
    <w:p w14:paraId="322258BC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2F8D0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>If you find that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proved each of these elements, your verdict should be for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]. If, on the other hand, you find that the plaintiff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 has failed to prove any of these elements, your verdict should be for the defendant [</w:t>
      </w:r>
      <w:r w:rsidRPr="00415569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415569">
        <w:rPr>
          <w:rFonts w:ascii="Times New Roman" w:hAnsi="Times New Roman" w:cs="Times New Roman"/>
          <w:sz w:val="24"/>
          <w:szCs w:val="24"/>
        </w:rPr>
        <w:t>].</w:t>
      </w:r>
    </w:p>
    <w:p w14:paraId="6F003F9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38F1D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b/>
          <w:bCs/>
          <w:sz w:val="24"/>
          <w:szCs w:val="24"/>
        </w:rPr>
        <w:t>Comment</w:t>
      </w:r>
    </w:p>
    <w:p w14:paraId="72E64C09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FE2E5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See Retail Wholesale &amp; </w:t>
      </w:r>
      <w:proofErr w:type="spellStart"/>
      <w:r w:rsidRPr="00415569">
        <w:rPr>
          <w:rFonts w:ascii="Times New Roman" w:hAnsi="Times New Roman" w:cs="Times New Roman"/>
          <w:i/>
          <w:iCs/>
          <w:sz w:val="24"/>
          <w:szCs w:val="24"/>
        </w:rPr>
        <w:t>Dep’t</w:t>
      </w:r>
      <w:proofErr w:type="spellEnd"/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 Store Union Local 338 Ret. Fund v. Hewlett-Packard Co.</w:t>
      </w:r>
      <w:r w:rsidRPr="00415569">
        <w:rPr>
          <w:rFonts w:ascii="Times New Roman" w:hAnsi="Times New Roman" w:cs="Times New Roman"/>
          <w:sz w:val="24"/>
          <w:szCs w:val="24"/>
        </w:rPr>
        <w:t>, 845 F.3d 1268, 1274 (9th Cir. 2017) (listing elements of claim).</w:t>
      </w:r>
    </w:p>
    <w:p w14:paraId="7EB014C6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9E8DD" w14:textId="77777777" w:rsidR="00415569" w:rsidRPr="00415569" w:rsidRDefault="00415569" w:rsidP="00415569">
      <w:pPr>
        <w:numPr>
          <w:ilvl w:val="12"/>
          <w:numId w:val="0"/>
        </w:numPr>
        <w:adjustRightInd w:val="0"/>
        <w:spacing w:after="0" w:line="240" w:lineRule="auto"/>
        <w:rPr>
          <w:rFonts w:ascii="Times New Roman" w:hAnsi="Times New Roman"/>
          <w:i/>
          <w:iCs/>
          <w:sz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See Instruction 18.1 (Securities—Purpose and Selected Definitions) for definitions of “security,” “10b-5 claim,” “misrepresentation,” “omission,” “in connection with,” and “instrumentality of interstate commerce.” National security exchanges include the New York Stock Exchange and the NASDAQ Stock Market. </w:t>
      </w:r>
      <w:r w:rsidRPr="00415569">
        <w:rPr>
          <w:rFonts w:ascii="Times New Roman" w:hAnsi="Times New Roman"/>
          <w:i/>
          <w:iCs/>
          <w:sz w:val="24"/>
        </w:rPr>
        <w:t xml:space="preserve">See </w:t>
      </w:r>
      <w:r w:rsidRPr="00415569">
        <w:rPr>
          <w:rFonts w:ascii="Times New Roman" w:hAnsi="Times New Roman"/>
          <w:sz w:val="24"/>
        </w:rPr>
        <w:t>Instruction 18.5 (Securities—Knowingly and Recklessly) for</w:t>
      </w:r>
    </w:p>
    <w:p w14:paraId="310746B8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>definitions of “knowingly” and “recklessly.”</w:t>
      </w:r>
    </w:p>
    <w:p w14:paraId="7F30D1E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1EC61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60E24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415569">
        <w:rPr>
          <w:rFonts w:ascii="Times New Roman" w:hAnsi="Times New Roman" w:cs="Times New Roman"/>
          <w:sz w:val="24"/>
          <w:szCs w:val="24"/>
        </w:rPr>
        <w:t xml:space="preserve"> 15 U.S.C. § 78j(b) (making it unlawful to use any deceptive device in connection with purchase or sale of security) and 17 C.F.R. § 240.10b-5 (making it unlawful to use any </w:t>
      </w:r>
      <w:r w:rsidRPr="00415569">
        <w:rPr>
          <w:rFonts w:ascii="Times New Roman" w:hAnsi="Times New Roman" w:cs="Times New Roman"/>
          <w:sz w:val="24"/>
          <w:szCs w:val="24"/>
        </w:rPr>
        <w:lastRenderedPageBreak/>
        <w:t xml:space="preserve">device to defraud, to make untrue statement or omission of material fact, or to engage in fraudulent act in connection with purchase or sale of security). In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Gray v. First Winthrop Corp.</w:t>
      </w:r>
      <w:r w:rsidRPr="00415569">
        <w:rPr>
          <w:rFonts w:ascii="Times New Roman" w:hAnsi="Times New Roman" w:cs="Times New Roman"/>
          <w:sz w:val="24"/>
          <w:szCs w:val="24"/>
        </w:rPr>
        <w:t xml:space="preserve">, 82 F.3d 877, 884 (9th Cir. 1996), the Ninth Circuit confirmed that the elements described in this instruction are required to prove a 10b-5 claim. </w:t>
      </w:r>
    </w:p>
    <w:p w14:paraId="6D59712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73C4A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A defendant “makes” a statement if the defendant has ultimate authority over the statement, including its content and whether and how to communicate it.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Janus Capital Grp., Inc. v. First Derivative Traders</w:t>
      </w:r>
      <w:r w:rsidRPr="00415569">
        <w:rPr>
          <w:rFonts w:ascii="Times New Roman" w:hAnsi="Times New Roman" w:cs="Times New Roman"/>
          <w:sz w:val="24"/>
          <w:szCs w:val="24"/>
        </w:rPr>
        <w:t xml:space="preserve">, 564 U.S. 135, 142 (2011). A plaintiff must show that the defendant had control over the statement; a defendant’s significant involvement in the preparation of a prospectus containing an untrue or misleading statement is not enough to show that the defendant “made” that statement.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415569">
        <w:rPr>
          <w:rFonts w:ascii="Times New Roman" w:hAnsi="Times New Roman" w:cs="Times New Roman"/>
          <w:sz w:val="24"/>
          <w:szCs w:val="24"/>
        </w:rPr>
        <w:t>. at 147-48.</w:t>
      </w:r>
    </w:p>
    <w:p w14:paraId="7CB0A93D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97882" w14:textId="77777777" w:rsid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ab/>
        <w:t xml:space="preserve">A defendant also may be liable if the defendant disseminates a false statement with the intent to defraud. 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Lorenzo v. SEC</w:t>
      </w:r>
      <w:r w:rsidRPr="00415569">
        <w:rPr>
          <w:rFonts w:ascii="Times New Roman" w:hAnsi="Times New Roman" w:cs="Times New Roman"/>
          <w:sz w:val="24"/>
          <w:szCs w:val="24"/>
        </w:rPr>
        <w:t xml:space="preserve">, 587 U.S. 71, 74 (2019). Where a defendant does not “make” a statement but disseminates information that is “understood to contain material untruths,” such conduct can fall within the scope of a 10b-5 claim.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415569">
        <w:rPr>
          <w:rFonts w:ascii="Times New Roman" w:hAnsi="Times New Roman" w:cs="Times New Roman"/>
          <w:sz w:val="24"/>
          <w:szCs w:val="24"/>
        </w:rPr>
        <w:t xml:space="preserve">. at 78;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see also id. </w:t>
      </w:r>
      <w:r w:rsidRPr="00415569">
        <w:rPr>
          <w:rFonts w:ascii="Times New Roman" w:hAnsi="Times New Roman" w:cs="Times New Roman"/>
          <w:sz w:val="24"/>
          <w:szCs w:val="24"/>
        </w:rPr>
        <w:t xml:space="preserve">at 81 (“[U]sing false representations to induce the purchase of securities would seem a paradigmatic example of securities fraud.”). </w:t>
      </w:r>
    </w:p>
    <w:p w14:paraId="2762C3E9" w14:textId="77777777" w:rsidR="007F6C1E" w:rsidRDefault="007F6C1E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2870C" w14:textId="4916CE68" w:rsidR="007F6C1E" w:rsidRPr="007F6C1E" w:rsidRDefault="007F6C1E" w:rsidP="007F6C1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92168">
        <w:rPr>
          <w:rFonts w:ascii="Times New Roman" w:hAnsi="Times New Roman" w:cs="Times New Roman"/>
        </w:rPr>
        <w:t xml:space="preserve">Defendants can claim the “safe harbor” protection for statements made about the future under the Private Securities Litigation Reform Act, 15 U.S.C. § 78u-4, but where the statement about the future is a warning about a future risk, the statement is “implicitly” a “comment on the </w:t>
      </w:r>
      <w:r w:rsidRPr="00692168">
        <w:rPr>
          <w:rFonts w:ascii="Times New Roman" w:hAnsi="Times New Roman" w:cs="Times New Roman"/>
          <w:i/>
          <w:iCs/>
        </w:rPr>
        <w:t>present</w:t>
      </w:r>
      <w:r w:rsidRPr="00692168">
        <w:rPr>
          <w:rFonts w:ascii="Times New Roman" w:hAnsi="Times New Roman" w:cs="Times New Roman"/>
        </w:rPr>
        <w:t xml:space="preserve"> state of affairs, because it suggests that the circumstance posing the risk has not yet occurred.” </w:t>
      </w:r>
      <w:r w:rsidRPr="00692168">
        <w:rPr>
          <w:rFonts w:ascii="Times New Roman" w:hAnsi="Times New Roman" w:cs="Times New Roman"/>
          <w:i/>
          <w:iCs/>
        </w:rPr>
        <w:t>Constr</w:t>
      </w:r>
      <w:r>
        <w:rPr>
          <w:rFonts w:ascii="Times New Roman" w:hAnsi="Times New Roman" w:cs="Times New Roman"/>
          <w:i/>
          <w:iCs/>
        </w:rPr>
        <w:t>.</w:t>
      </w:r>
      <w:r w:rsidRPr="00692168">
        <w:rPr>
          <w:rFonts w:ascii="Times New Roman" w:hAnsi="Times New Roman" w:cs="Times New Roman"/>
          <w:i/>
          <w:iCs/>
        </w:rPr>
        <w:t xml:space="preserve"> Laborers Pension Tr</w:t>
      </w:r>
      <w:r>
        <w:rPr>
          <w:rFonts w:ascii="Times New Roman" w:hAnsi="Times New Roman" w:cs="Times New Roman"/>
          <w:i/>
          <w:iCs/>
        </w:rPr>
        <w:t>.</w:t>
      </w:r>
      <w:r w:rsidRPr="00692168">
        <w:rPr>
          <w:rFonts w:ascii="Times New Roman" w:hAnsi="Times New Roman" w:cs="Times New Roman"/>
          <w:i/>
          <w:iCs/>
        </w:rPr>
        <w:t xml:space="preserve"> of Greater St. Louis v. Funko, Inc</w:t>
      </w:r>
      <w:r w:rsidRPr="00692168">
        <w:rPr>
          <w:rFonts w:ascii="Times New Roman" w:hAnsi="Times New Roman" w:cs="Times New Roman"/>
        </w:rPr>
        <w:t xml:space="preserve">., 166 F.4th 805, 825 (9th Cir. 2026) (emphasis in original). Thus, a risk factor warning about an alleged future risk that has already occurred is false and can give rise to liability under Section 10(b) and Rule 10b-5. </w:t>
      </w:r>
      <w:r w:rsidRPr="00692168">
        <w:rPr>
          <w:rFonts w:ascii="Times New Roman" w:hAnsi="Times New Roman" w:cs="Times New Roman"/>
          <w:i/>
          <w:iCs/>
        </w:rPr>
        <w:t>Id.</w:t>
      </w:r>
      <w:r w:rsidRPr="00222A17">
        <w:rPr>
          <w:rFonts w:ascii="Times New Roman" w:hAnsi="Times New Roman" w:cs="Times New Roman"/>
        </w:rPr>
        <w:t xml:space="preserve"> </w:t>
      </w:r>
    </w:p>
    <w:p w14:paraId="2370C3B5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0BE3C" w14:textId="265704C6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sz w:val="24"/>
          <w:szCs w:val="24"/>
        </w:rPr>
        <w:t xml:space="preserve">Before 2017, these instructions phrased the fourth element as requiring that “the plaintiff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reasonably</w:t>
      </w:r>
      <w:r w:rsidRPr="00415569">
        <w:rPr>
          <w:rFonts w:ascii="Times New Roman" w:hAnsi="Times New Roman" w:cs="Times New Roman"/>
          <w:sz w:val="24"/>
          <w:szCs w:val="24"/>
        </w:rPr>
        <w:t xml:space="preserve"> relied” on the misrepresentation. Several Ninth Circuit cases, however, use the phrase “justifiable reliance.”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See Livid Holdings Ltd. v. Salomon Smith Barney, Inc.</w:t>
      </w:r>
      <w:r w:rsidRPr="00415569">
        <w:rPr>
          <w:rFonts w:ascii="Times New Roman" w:hAnsi="Times New Roman" w:cs="Times New Roman"/>
          <w:sz w:val="24"/>
          <w:szCs w:val="24"/>
        </w:rPr>
        <w:t>, 416 F.3d 940, 950 (9th Cir. 2005) (“If [Plaintiff] justifiably relied on Defendants’ misrepresentation about the stock sale and, in turn, bought [company] stock based on this reliance, it incurred damages from Defendants’ fraud</w:t>
      </w:r>
      <w:r w:rsidR="007F6C1E">
        <w:rPr>
          <w:rFonts w:ascii="Times New Roman" w:hAnsi="Times New Roman" w:cs="Times New Roman"/>
          <w:sz w:val="24"/>
          <w:szCs w:val="24"/>
        </w:rPr>
        <w:t>.</w:t>
      </w:r>
      <w:r w:rsidRPr="00415569">
        <w:rPr>
          <w:rFonts w:ascii="Times New Roman" w:hAnsi="Times New Roman" w:cs="Times New Roman"/>
          <w:sz w:val="24"/>
          <w:szCs w:val="24"/>
        </w:rPr>
        <w:t xml:space="preserve">”); 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>Binder v. Gillespie</w:t>
      </w:r>
      <w:r w:rsidRPr="00415569">
        <w:rPr>
          <w:rFonts w:ascii="Times New Roman" w:hAnsi="Times New Roman" w:cs="Times New Roman"/>
          <w:sz w:val="24"/>
          <w:szCs w:val="24"/>
        </w:rPr>
        <w:t>, 184 F.3d 1059, 1063 (9th Cir. 1999);</w:t>
      </w: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 Gray</w:t>
      </w:r>
      <w:r w:rsidRPr="00415569">
        <w:rPr>
          <w:rFonts w:ascii="Times New Roman" w:hAnsi="Times New Roman" w:cs="Times New Roman"/>
          <w:sz w:val="24"/>
          <w:szCs w:val="24"/>
        </w:rPr>
        <w:t>, 82 F.3d at 884.</w:t>
      </w:r>
    </w:p>
    <w:p w14:paraId="755EE893" w14:textId="77777777" w:rsidR="00415569" w:rsidRPr="00415569" w:rsidRDefault="00415569" w:rsidP="0041556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4C18" w14:textId="21460A1D" w:rsidR="00C30C2C" w:rsidRPr="000071DE" w:rsidRDefault="00415569" w:rsidP="007F6C1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569">
        <w:rPr>
          <w:rFonts w:ascii="Times New Roman" w:hAnsi="Times New Roman" w:cs="Times New Roman"/>
          <w:i/>
          <w:iCs/>
          <w:sz w:val="24"/>
          <w:szCs w:val="24"/>
        </w:rPr>
        <w:t xml:space="preserve"> Revised </w:t>
      </w:r>
      <w:r w:rsidR="007F6C1E">
        <w:rPr>
          <w:rFonts w:ascii="Times New Roman" w:hAnsi="Times New Roman" w:cs="Times New Roman"/>
          <w:i/>
          <w:iCs/>
          <w:sz w:val="24"/>
          <w:szCs w:val="24"/>
        </w:rPr>
        <w:t>March 2026</w:t>
      </w:r>
    </w:p>
    <w:sectPr w:rsidR="00C30C2C" w:rsidRPr="00007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E"/>
    <w:rsid w:val="000071DE"/>
    <w:rsid w:val="001F1832"/>
    <w:rsid w:val="00235FFF"/>
    <w:rsid w:val="00254EEC"/>
    <w:rsid w:val="002B0454"/>
    <w:rsid w:val="003D7254"/>
    <w:rsid w:val="004145A9"/>
    <w:rsid w:val="00415569"/>
    <w:rsid w:val="004922F2"/>
    <w:rsid w:val="00493C79"/>
    <w:rsid w:val="00695F6A"/>
    <w:rsid w:val="006E771A"/>
    <w:rsid w:val="00705D1F"/>
    <w:rsid w:val="007A40BA"/>
    <w:rsid w:val="007F6C1E"/>
    <w:rsid w:val="00AD0F70"/>
    <w:rsid w:val="00B56BA5"/>
    <w:rsid w:val="00B96321"/>
    <w:rsid w:val="00BC67C9"/>
    <w:rsid w:val="00C30B63"/>
    <w:rsid w:val="00C30C2C"/>
    <w:rsid w:val="00C476AC"/>
    <w:rsid w:val="00C64593"/>
    <w:rsid w:val="00D56588"/>
    <w:rsid w:val="00DB7C92"/>
    <w:rsid w:val="00EB3BF7"/>
    <w:rsid w:val="00F26657"/>
    <w:rsid w:val="00F416B8"/>
    <w:rsid w:val="00F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E6B"/>
  <w15:chartTrackingRefBased/>
  <w15:docId w15:val="{2CDB7B9B-A24C-4BCF-8882-594170EE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D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  <w:style w:type="paragraph" w:styleId="Revision">
    <w:name w:val="Revision"/>
    <w:hidden/>
    <w:uiPriority w:val="99"/>
    <w:semiHidden/>
    <w:rsid w:val="00F416B8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Aejung Yoon</cp:lastModifiedBy>
  <cp:revision>14</cp:revision>
  <dcterms:created xsi:type="dcterms:W3CDTF">2024-10-30T18:23:00Z</dcterms:created>
  <dcterms:modified xsi:type="dcterms:W3CDTF">2026-04-23T19:25:00Z</dcterms:modified>
</cp:coreProperties>
</file>