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8609" w14:textId="77777777" w:rsidR="00DE4C36" w:rsidRPr="00374DD7" w:rsidRDefault="00DE4C36" w:rsidP="00DE4C36">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6"/>
      <w:bookmarkStart w:id="1" w:name="_Toc175067673"/>
      <w:r w:rsidRPr="00374DD7">
        <w:rPr>
          <w:rFonts w:ascii="Times New Roman" w:hAnsi="Times New Roman" w:cs="Times New Roman"/>
          <w:b/>
          <w:bCs/>
          <w:sz w:val="24"/>
          <w:szCs w:val="24"/>
        </w:rPr>
        <w:t xml:space="preserve">18.3 </w:t>
      </w:r>
      <w:bookmarkStart w:id="2" w:name="_Hlk220956889"/>
      <w:r w:rsidRPr="00374DD7">
        <w:rPr>
          <w:rFonts w:ascii="Times New Roman" w:hAnsi="Times New Roman" w:cs="Times New Roman"/>
          <w:b/>
          <w:bCs/>
          <w:sz w:val="24"/>
          <w:szCs w:val="24"/>
        </w:rPr>
        <w:t>Securities—Misrepresentations or Omissions—Materiality</w:t>
      </w:r>
      <w:bookmarkEnd w:id="0"/>
      <w:bookmarkEnd w:id="1"/>
      <w:bookmarkEnd w:id="2"/>
    </w:p>
    <w:p w14:paraId="3991042D" w14:textId="77777777" w:rsidR="00DE4C36" w:rsidRPr="00374DD7" w:rsidRDefault="00DE4C36" w:rsidP="00DE4C36">
      <w:pPr>
        <w:numPr>
          <w:ilvl w:val="12"/>
          <w:numId w:val="0"/>
        </w:numPr>
        <w:autoSpaceDE w:val="0"/>
        <w:autoSpaceDN w:val="0"/>
        <w:adjustRightInd w:val="0"/>
        <w:spacing w:after="0" w:line="240" w:lineRule="auto"/>
        <w:rPr>
          <w:rFonts w:ascii="Times New Roman" w:hAnsi="Times New Roman" w:cs="Times New Roman"/>
          <w:sz w:val="24"/>
          <w:szCs w:val="24"/>
        </w:rPr>
      </w:pPr>
    </w:p>
    <w:p w14:paraId="75BC89EE" w14:textId="721C64E3" w:rsidR="00DE4C36" w:rsidRDefault="00DE4C36" w:rsidP="00DE4C36">
      <w:pPr>
        <w:shd w:val="clear" w:color="auto" w:fill="FFFFFF"/>
        <w:spacing w:before="144" w:after="0" w:line="240" w:lineRule="auto"/>
        <w:ind w:firstLine="720"/>
        <w:rPr>
          <w:rFonts w:ascii="Times New Roman" w:eastAsia="Times New Roman" w:hAnsi="Times New Roman" w:cs="Times New Roman"/>
          <w:color w:val="494949"/>
          <w:sz w:val="24"/>
          <w:szCs w:val="24"/>
        </w:rPr>
      </w:pPr>
      <w:r w:rsidRPr="00374DD7">
        <w:rPr>
          <w:rFonts w:ascii="Times New Roman" w:eastAsia="Times New Roman" w:hAnsi="Times New Roman" w:cs="Times New Roman"/>
          <w:color w:val="000000"/>
          <w:sz w:val="24"/>
          <w:szCs w:val="24"/>
        </w:rPr>
        <w:t xml:space="preserve">The plaintiff must prove by a preponderance of the evidence that the defendant’s misrepresentation or omission was </w:t>
      </w:r>
      <w:proofErr w:type="spellStart"/>
      <w:r w:rsidRPr="00374DD7">
        <w:rPr>
          <w:rFonts w:ascii="Times New Roman" w:eastAsia="Times New Roman" w:hAnsi="Times New Roman" w:cs="Times New Roman"/>
          <w:color w:val="000000"/>
          <w:sz w:val="24"/>
          <w:szCs w:val="24"/>
        </w:rPr>
        <w:t>material.A</w:t>
      </w:r>
      <w:proofErr w:type="spellEnd"/>
      <w:r w:rsidRPr="00374DD7">
        <w:rPr>
          <w:rFonts w:ascii="Times New Roman" w:eastAsia="Times New Roman" w:hAnsi="Times New Roman" w:cs="Times New Roman"/>
          <w:color w:val="000000"/>
          <w:sz w:val="24"/>
          <w:szCs w:val="24"/>
        </w:rPr>
        <w:t xml:space="preserve"> factual representation concerning a security is material if there is a substantial likelihood a reasonable investor would consider the fact important in deciding whether to buy or sell that </w:t>
      </w:r>
      <w:proofErr w:type="spellStart"/>
      <w:r w:rsidRPr="00374DD7">
        <w:rPr>
          <w:rFonts w:ascii="Times New Roman" w:eastAsia="Times New Roman" w:hAnsi="Times New Roman" w:cs="Times New Roman"/>
          <w:color w:val="000000"/>
          <w:sz w:val="24"/>
          <w:szCs w:val="24"/>
        </w:rPr>
        <w:t>security.An</w:t>
      </w:r>
      <w:proofErr w:type="spellEnd"/>
      <w:r w:rsidRPr="00374DD7">
        <w:rPr>
          <w:rFonts w:ascii="Times New Roman" w:eastAsia="Times New Roman" w:hAnsi="Times New Roman" w:cs="Times New Roman"/>
          <w:color w:val="000000"/>
          <w:sz w:val="24"/>
          <w:szCs w:val="24"/>
        </w:rPr>
        <w:t xml:space="preserve"> omission concerning a security is material if a reasonable investor would have regarded what was not disclosed to [him] [her] [it] as having significantly altered the total mix of information [he] [she] [it] took into account in deciding whether to buy or sell the security</w:t>
      </w:r>
      <w:r>
        <w:rPr>
          <w:rFonts w:ascii="Times New Roman" w:eastAsia="Times New Roman" w:hAnsi="Times New Roman" w:cs="Times New Roman"/>
          <w:color w:val="000000"/>
          <w:sz w:val="24"/>
          <w:szCs w:val="24"/>
        </w:rPr>
        <w:t>.</w:t>
      </w:r>
    </w:p>
    <w:p w14:paraId="5D046373" w14:textId="77777777" w:rsidR="00DE4C36" w:rsidRDefault="00DE4C36" w:rsidP="00DE4C36">
      <w:pPr>
        <w:shd w:val="clear" w:color="auto" w:fill="FFFFFF"/>
        <w:spacing w:before="144" w:after="0" w:line="240" w:lineRule="auto"/>
        <w:ind w:firstLine="720"/>
        <w:rPr>
          <w:rFonts w:ascii="Times New Roman" w:eastAsia="Times New Roman" w:hAnsi="Times New Roman" w:cs="Times New Roman"/>
          <w:color w:val="494949"/>
          <w:sz w:val="24"/>
          <w:szCs w:val="24"/>
        </w:rPr>
      </w:pPr>
      <w:r w:rsidRPr="00374DD7">
        <w:rPr>
          <w:rFonts w:ascii="Times New Roman" w:eastAsia="Times New Roman" w:hAnsi="Times New Roman" w:cs="Times New Roman"/>
          <w:color w:val="000000"/>
          <w:sz w:val="24"/>
          <w:szCs w:val="24"/>
        </w:rPr>
        <w:t>You must decide whether something was material based on the circumstances as they existed at the time of the statement or omission.</w:t>
      </w:r>
    </w:p>
    <w:p w14:paraId="0C681383" w14:textId="77777777" w:rsidR="00DE4C36" w:rsidRPr="00FA51AB" w:rsidRDefault="00DE4C36" w:rsidP="00DE4C36">
      <w:pPr>
        <w:shd w:val="clear" w:color="auto" w:fill="FFFFFF"/>
        <w:spacing w:before="144" w:after="0" w:line="240" w:lineRule="auto"/>
        <w:ind w:firstLine="720"/>
        <w:rPr>
          <w:rFonts w:ascii="Times New Roman" w:eastAsia="Times New Roman" w:hAnsi="Times New Roman" w:cs="Times New Roman"/>
          <w:color w:val="494949"/>
          <w:sz w:val="24"/>
          <w:szCs w:val="24"/>
        </w:rPr>
      </w:pPr>
    </w:p>
    <w:p w14:paraId="0FC14F2D" w14:textId="77777777" w:rsidR="00DE4C36" w:rsidRPr="00374DD7" w:rsidRDefault="00DE4C36" w:rsidP="00DE4C36">
      <w:pPr>
        <w:autoSpaceDE w:val="0"/>
        <w:autoSpaceDN w:val="0"/>
        <w:adjustRightInd w:val="0"/>
        <w:spacing w:after="0" w:line="240" w:lineRule="auto"/>
        <w:jc w:val="center"/>
        <w:rPr>
          <w:rFonts w:ascii="Times New Roman" w:hAnsi="Times New Roman" w:cs="Times New Roman"/>
          <w:sz w:val="24"/>
          <w:szCs w:val="24"/>
        </w:rPr>
      </w:pPr>
      <w:r w:rsidRPr="00374DD7">
        <w:rPr>
          <w:rFonts w:ascii="Times New Roman" w:hAnsi="Times New Roman" w:cs="Times New Roman"/>
          <w:b/>
          <w:bCs/>
          <w:sz w:val="24"/>
          <w:szCs w:val="24"/>
        </w:rPr>
        <w:t>Comment</w:t>
      </w:r>
    </w:p>
    <w:p w14:paraId="060728E0" w14:textId="77777777" w:rsidR="00DE4C36" w:rsidRPr="00374DD7" w:rsidRDefault="00DE4C36" w:rsidP="00DE4C36">
      <w:pPr>
        <w:autoSpaceDE w:val="0"/>
        <w:autoSpaceDN w:val="0"/>
        <w:adjustRightInd w:val="0"/>
        <w:spacing w:after="0" w:line="240" w:lineRule="auto"/>
        <w:rPr>
          <w:rFonts w:ascii="Times New Roman" w:hAnsi="Times New Roman" w:cs="Times New Roman"/>
          <w:sz w:val="24"/>
          <w:szCs w:val="24"/>
        </w:rPr>
      </w:pPr>
    </w:p>
    <w:p w14:paraId="5BB7BD57" w14:textId="082C5271" w:rsidR="00DE4C36" w:rsidRPr="00374DD7" w:rsidRDefault="00DE4C36" w:rsidP="00DE4C36">
      <w:pPr>
        <w:shd w:val="clear" w:color="auto" w:fill="FFFFFF"/>
        <w:spacing w:before="144" w:after="0" w:line="240" w:lineRule="auto"/>
        <w:rPr>
          <w:rFonts w:ascii="Times New Roman" w:eastAsia="Times New Roman" w:hAnsi="Times New Roman" w:cs="Times New Roman"/>
          <w:color w:val="494949"/>
          <w:sz w:val="24"/>
          <w:szCs w:val="24"/>
        </w:rPr>
      </w:pPr>
      <w:r w:rsidRPr="00374DD7">
        <w:rPr>
          <w:rFonts w:ascii="Times New Roman" w:hAnsi="Times New Roman" w:cs="Times New Roman"/>
          <w:sz w:val="24"/>
          <w:szCs w:val="24"/>
        </w:rPr>
        <w:tab/>
      </w:r>
      <w:r w:rsidRPr="00374DD7">
        <w:rPr>
          <w:rFonts w:ascii="Times New Roman" w:eastAsia="Times New Roman" w:hAnsi="Times New Roman" w:cs="Times New Roman"/>
          <w:color w:val="000000"/>
          <w:sz w:val="24"/>
          <w:szCs w:val="24"/>
        </w:rPr>
        <w:t xml:space="preserve">In </w:t>
      </w:r>
      <w:r w:rsidRPr="00374DD7">
        <w:rPr>
          <w:rFonts w:ascii="Times New Roman" w:eastAsia="Times New Roman" w:hAnsi="Times New Roman" w:cs="Times New Roman"/>
          <w:i/>
          <w:iCs/>
          <w:color w:val="000000"/>
          <w:sz w:val="24"/>
          <w:szCs w:val="24"/>
        </w:rPr>
        <w:t>Basic Inc. v. Levinson</w:t>
      </w:r>
      <w:r w:rsidRPr="00374DD7">
        <w:rPr>
          <w:rFonts w:ascii="Times New Roman" w:eastAsia="Times New Roman" w:hAnsi="Times New Roman" w:cs="Times New Roman"/>
          <w:color w:val="000000"/>
          <w:sz w:val="24"/>
          <w:szCs w:val="24"/>
        </w:rPr>
        <w:t>, 485 U.S. 224, 231 (1988), the Supreme Court adopted the standard for materiality developed in </w:t>
      </w:r>
      <w:r w:rsidRPr="00374DD7">
        <w:rPr>
          <w:rFonts w:ascii="Times New Roman" w:eastAsia="Times New Roman" w:hAnsi="Times New Roman" w:cs="Times New Roman"/>
          <w:i/>
          <w:iCs/>
          <w:color w:val="000000"/>
          <w:sz w:val="24"/>
          <w:szCs w:val="24"/>
        </w:rPr>
        <w:t>TSC Industries, Inc. v. Northway, Inc.</w:t>
      </w:r>
      <w:r w:rsidRPr="00374DD7">
        <w:rPr>
          <w:rFonts w:ascii="Times New Roman" w:eastAsia="Times New Roman" w:hAnsi="Times New Roman" w:cs="Times New Roman"/>
          <w:color w:val="000000"/>
          <w:sz w:val="24"/>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374DD7">
        <w:rPr>
          <w:rFonts w:ascii="Times New Roman" w:eastAsia="Times New Roman" w:hAnsi="Times New Roman" w:cs="Times New Roman"/>
          <w:i/>
          <w:iCs/>
          <w:color w:val="000000"/>
          <w:sz w:val="24"/>
          <w:szCs w:val="24"/>
        </w:rPr>
        <w:t>In re Alphabet, Inc. Sec. Litig</w:t>
      </w:r>
      <w:r w:rsidRPr="00374DD7">
        <w:rPr>
          <w:rFonts w:ascii="Times New Roman" w:eastAsia="Times New Roman" w:hAnsi="Times New Roman" w:cs="Times New Roman"/>
          <w:color w:val="000000"/>
          <w:sz w:val="24"/>
          <w:szCs w:val="24"/>
        </w:rPr>
        <w:t>., 1 F.4th 687, 705 (9th Cir. 2021).</w:t>
      </w:r>
    </w:p>
    <w:p w14:paraId="11001D5F" w14:textId="0F2E9363" w:rsidR="00DE4C36" w:rsidRDefault="00DE4C36" w:rsidP="00DE4C36">
      <w:pPr>
        <w:shd w:val="clear" w:color="auto" w:fill="FFFFFF"/>
        <w:spacing w:before="144" w:after="0" w:line="240" w:lineRule="auto"/>
        <w:ind w:firstLine="720"/>
        <w:rPr>
          <w:rFonts w:ascii="Times New Roman" w:eastAsia="Times New Roman" w:hAnsi="Times New Roman" w:cs="Times New Roman"/>
          <w:color w:val="000000"/>
          <w:sz w:val="24"/>
          <w:szCs w:val="24"/>
        </w:rPr>
      </w:pPr>
      <w:r w:rsidRPr="00374DD7">
        <w:rPr>
          <w:rFonts w:ascii="Times New Roman" w:eastAsia="Times New Roman" w:hAnsi="Times New Roman" w:cs="Times New Roman"/>
          <w:color w:val="000000"/>
          <w:sz w:val="24"/>
          <w:szCs w:val="24"/>
        </w:rPr>
        <w:t>In discussing materiality, the Ninth Circuit has applied </w:t>
      </w:r>
      <w:r w:rsidRPr="00374DD7">
        <w:rPr>
          <w:rFonts w:ascii="Times New Roman" w:eastAsia="Times New Roman" w:hAnsi="Times New Roman" w:cs="Times New Roman"/>
          <w:i/>
          <w:iCs/>
          <w:color w:val="000000"/>
          <w:sz w:val="24"/>
          <w:szCs w:val="24"/>
        </w:rPr>
        <w:t>TSC Industries</w:t>
      </w:r>
      <w:r w:rsidRPr="00374DD7">
        <w:rPr>
          <w:rFonts w:ascii="Times New Roman" w:eastAsia="Times New Roman" w:hAnsi="Times New Roman" w:cs="Times New Roman"/>
          <w:color w:val="000000"/>
          <w:sz w:val="24"/>
          <w:szCs w:val="24"/>
        </w:rPr>
        <w:t> and </w:t>
      </w:r>
      <w:r w:rsidRPr="00374DD7">
        <w:rPr>
          <w:rFonts w:ascii="Times New Roman" w:eastAsia="Times New Roman" w:hAnsi="Times New Roman" w:cs="Times New Roman"/>
          <w:i/>
          <w:iCs/>
          <w:color w:val="000000"/>
          <w:sz w:val="24"/>
          <w:szCs w:val="24"/>
        </w:rPr>
        <w:t xml:space="preserve">Basic Inc. </w:t>
      </w:r>
      <w:r w:rsidRPr="00374DD7">
        <w:rPr>
          <w:rFonts w:ascii="Times New Roman" w:eastAsia="Times New Roman" w:hAnsi="Times New Roman" w:cs="Times New Roman"/>
          <w:color w:val="000000"/>
          <w:sz w:val="24"/>
          <w:szCs w:val="24"/>
        </w:rPr>
        <w:t xml:space="preserve">in various formulations. </w:t>
      </w:r>
      <w:r w:rsidRPr="00374DD7">
        <w:rPr>
          <w:rFonts w:ascii="Times New Roman" w:eastAsia="Times New Roman" w:hAnsi="Times New Roman" w:cs="Times New Roman"/>
          <w:i/>
          <w:iCs/>
          <w:color w:val="000000"/>
          <w:sz w:val="24"/>
          <w:szCs w:val="24"/>
        </w:rPr>
        <w:t>See, e.g.</w:t>
      </w:r>
      <w:r w:rsidRPr="00374DD7">
        <w:rPr>
          <w:rFonts w:ascii="Times New Roman" w:eastAsia="Times New Roman" w:hAnsi="Times New Roman" w:cs="Times New Roman"/>
          <w:color w:val="000000"/>
          <w:sz w:val="24"/>
          <w:szCs w:val="24"/>
        </w:rPr>
        <w:t>,</w:t>
      </w:r>
      <w:r w:rsidRPr="00374DD7">
        <w:rPr>
          <w:rFonts w:ascii="Times New Roman" w:eastAsia="Times New Roman" w:hAnsi="Times New Roman" w:cs="Times New Roman"/>
          <w:i/>
          <w:iCs/>
          <w:color w:val="000000"/>
          <w:sz w:val="24"/>
          <w:szCs w:val="24"/>
        </w:rPr>
        <w:t> SEC v. Hui Feng</w:t>
      </w:r>
      <w:r w:rsidRPr="00374DD7">
        <w:rPr>
          <w:rFonts w:ascii="Times New Roman" w:eastAsia="Times New Roman" w:hAnsi="Times New Roman" w:cs="Times New Roman"/>
          <w:color w:val="000000"/>
          <w:sz w:val="24"/>
          <w:szCs w:val="24"/>
        </w:rPr>
        <w:t>, 935 F.3d 721, 736 (9th Cir. 2019) (</w:t>
      </w:r>
      <w:r>
        <w:rPr>
          <w:rFonts w:ascii="Times New Roman" w:hAnsi="Times New Roman" w:cs="Times New Roman"/>
          <w:sz w:val="24"/>
          <w:szCs w:val="24"/>
        </w:rPr>
        <w:t xml:space="preserve"> </w:t>
      </w:r>
      <w:r w:rsidRPr="00374DD7">
        <w:rPr>
          <w:rFonts w:ascii="Times New Roman" w:eastAsia="Times New Roman" w:hAnsi="Times New Roman" w:cs="Times New Roman"/>
          <w:color w:val="000000"/>
          <w:sz w:val="24"/>
          <w:szCs w:val="24"/>
        </w:rPr>
        <w:t>applying</w:t>
      </w:r>
      <w:r>
        <w:rPr>
          <w:rFonts w:ascii="Times New Roman" w:eastAsia="Times New Roman" w:hAnsi="Times New Roman" w:cs="Times New Roman"/>
          <w:color w:val="000000"/>
          <w:sz w:val="24"/>
          <w:szCs w:val="24"/>
        </w:rPr>
        <w:t xml:space="preserve"> </w:t>
      </w:r>
      <w:r w:rsidRPr="00374DD7">
        <w:rPr>
          <w:rFonts w:ascii="Times New Roman" w:eastAsia="Times New Roman" w:hAnsi="Times New Roman" w:cs="Times New Roman"/>
          <w:i/>
          <w:iCs/>
          <w:color w:val="000000"/>
          <w:sz w:val="24"/>
          <w:szCs w:val="24"/>
        </w:rPr>
        <w:t xml:space="preserve">TSC </w:t>
      </w:r>
      <w:r w:rsidRPr="00374DD7">
        <w:rPr>
          <w:rFonts w:ascii="Times New Roman" w:eastAsia="Times New Roman" w:hAnsi="Times New Roman" w:cs="Times New Roman"/>
          <w:color w:val="000000"/>
          <w:sz w:val="24"/>
          <w:szCs w:val="24"/>
        </w:rPr>
        <w:t xml:space="preserve">materiality test); </w:t>
      </w:r>
      <w:r w:rsidRPr="00374DD7">
        <w:rPr>
          <w:rFonts w:ascii="Times New Roman" w:eastAsia="Times New Roman" w:hAnsi="Times New Roman" w:cs="Times New Roman"/>
          <w:i/>
          <w:iCs/>
          <w:color w:val="000000"/>
          <w:sz w:val="24"/>
          <w:szCs w:val="24"/>
        </w:rPr>
        <w:t>Livid Holdings Ltd. v. Salomon Smith Barney, Inc.</w:t>
      </w:r>
      <w:r w:rsidRPr="00374DD7">
        <w:rPr>
          <w:rFonts w:ascii="Times New Roman" w:eastAsia="Times New Roman" w:hAnsi="Times New Roman" w:cs="Times New Roman"/>
          <w:color w:val="000000"/>
          <w:sz w:val="24"/>
          <w:szCs w:val="24"/>
        </w:rPr>
        <w:t xml:space="preserve">, 416 F.3d 940, 946-48 (9th Cir. 2005) (applying </w:t>
      </w:r>
      <w:r w:rsidRPr="00374DD7">
        <w:rPr>
          <w:rFonts w:ascii="Times New Roman" w:eastAsia="Times New Roman" w:hAnsi="Times New Roman" w:cs="Times New Roman"/>
          <w:i/>
          <w:iCs/>
          <w:color w:val="000000"/>
          <w:sz w:val="24"/>
          <w:szCs w:val="24"/>
        </w:rPr>
        <w:t xml:space="preserve">Basic Inc. </w:t>
      </w:r>
      <w:r w:rsidRPr="00374DD7">
        <w:rPr>
          <w:rFonts w:ascii="Times New Roman" w:eastAsia="Times New Roman" w:hAnsi="Times New Roman" w:cs="Times New Roman"/>
          <w:color w:val="000000"/>
          <w:sz w:val="24"/>
          <w:szCs w:val="24"/>
        </w:rPr>
        <w:t xml:space="preserve">materiality test); </w:t>
      </w:r>
      <w:r w:rsidRPr="00374DD7">
        <w:rPr>
          <w:rFonts w:ascii="Times New Roman" w:eastAsia="Times New Roman" w:hAnsi="Times New Roman" w:cs="Times New Roman"/>
          <w:i/>
          <w:iCs/>
          <w:color w:val="000000"/>
          <w:sz w:val="24"/>
          <w:szCs w:val="24"/>
        </w:rPr>
        <w:t>No. 84 Emp’r-Teamster Joint Council Pension Trust Fund v. Am. W. Holding Corp</w:t>
      </w:r>
      <w:r w:rsidRPr="00374DD7">
        <w:rPr>
          <w:rFonts w:ascii="Times New Roman" w:eastAsia="Times New Roman" w:hAnsi="Times New Roman" w:cs="Times New Roman"/>
          <w:color w:val="000000"/>
          <w:sz w:val="24"/>
          <w:szCs w:val="24"/>
        </w:rPr>
        <w:t xml:space="preserve">., 320 F.3d 920, 934 (9th Cir. 2003) (declining to adopt bright line rule for materiality that would require immediate change in stock price and instead engaging in “fact-specific inquiry” under </w:t>
      </w:r>
      <w:r w:rsidRPr="00374DD7">
        <w:rPr>
          <w:rFonts w:ascii="Times New Roman" w:eastAsia="Times New Roman" w:hAnsi="Times New Roman" w:cs="Times New Roman"/>
          <w:i/>
          <w:iCs/>
          <w:color w:val="000000"/>
          <w:sz w:val="24"/>
          <w:szCs w:val="24"/>
        </w:rPr>
        <w:t>Basic Inc.</w:t>
      </w:r>
      <w:r w:rsidRPr="00374DD7">
        <w:rPr>
          <w:rFonts w:ascii="Times New Roman" w:eastAsia="Times New Roman" w:hAnsi="Times New Roman" w:cs="Times New Roman"/>
          <w:color w:val="000000"/>
          <w:sz w:val="24"/>
          <w:szCs w:val="24"/>
        </w:rPr>
        <w:t xml:space="preserve">); </w:t>
      </w:r>
      <w:r w:rsidRPr="00374DD7">
        <w:rPr>
          <w:rFonts w:ascii="Times New Roman" w:eastAsia="Times New Roman" w:hAnsi="Times New Roman" w:cs="Times New Roman"/>
          <w:i/>
          <w:iCs/>
          <w:color w:val="000000"/>
          <w:sz w:val="24"/>
          <w:szCs w:val="24"/>
        </w:rPr>
        <w:t xml:space="preserve">In re Stac </w:t>
      </w:r>
      <w:proofErr w:type="spellStart"/>
      <w:r w:rsidRPr="00374DD7">
        <w:rPr>
          <w:rFonts w:ascii="Times New Roman" w:eastAsia="Times New Roman" w:hAnsi="Times New Roman" w:cs="Times New Roman"/>
          <w:i/>
          <w:iCs/>
          <w:color w:val="000000"/>
          <w:sz w:val="24"/>
          <w:szCs w:val="24"/>
        </w:rPr>
        <w:t>Electrs</w:t>
      </w:r>
      <w:proofErr w:type="spellEnd"/>
      <w:r w:rsidRPr="00374DD7">
        <w:rPr>
          <w:rFonts w:ascii="Times New Roman" w:eastAsia="Times New Roman" w:hAnsi="Times New Roman" w:cs="Times New Roman"/>
          <w:i/>
          <w:iCs/>
          <w:color w:val="000000"/>
          <w:sz w:val="24"/>
          <w:szCs w:val="24"/>
        </w:rPr>
        <w:t>. Sec. Litig.</w:t>
      </w:r>
      <w:r w:rsidRPr="00374DD7">
        <w:rPr>
          <w:rFonts w:ascii="Times New Roman" w:eastAsia="Times New Roman" w:hAnsi="Times New Roman" w:cs="Times New Roman"/>
          <w:color w:val="000000"/>
          <w:sz w:val="24"/>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374DD7">
        <w:rPr>
          <w:rFonts w:ascii="Times New Roman" w:eastAsia="Times New Roman" w:hAnsi="Times New Roman" w:cs="Times New Roman"/>
          <w:i/>
          <w:iCs/>
          <w:color w:val="000000"/>
          <w:sz w:val="24"/>
          <w:szCs w:val="24"/>
        </w:rPr>
        <w:t>Kaplan v. Rose</w:t>
      </w:r>
      <w:r w:rsidRPr="00374DD7">
        <w:rPr>
          <w:rFonts w:ascii="Times New Roman" w:eastAsia="Times New Roman" w:hAnsi="Times New Roman" w:cs="Times New Roman"/>
          <w:color w:val="000000"/>
          <w:sz w:val="24"/>
          <w:szCs w:val="24"/>
        </w:rPr>
        <w:t xml:space="preserve">, 49 F.3d 1363, 1371 (9th Cir. 1994) (applying test of whether omission or misrepresentation would have misled reasonable investor about nature of his or her investment); </w:t>
      </w:r>
      <w:r w:rsidRPr="00374DD7">
        <w:rPr>
          <w:rFonts w:ascii="Times New Roman" w:eastAsia="Times New Roman" w:hAnsi="Times New Roman" w:cs="Times New Roman"/>
          <w:i/>
          <w:iCs/>
          <w:color w:val="000000"/>
          <w:sz w:val="24"/>
          <w:szCs w:val="24"/>
        </w:rPr>
        <w:t>McGonigle v. Combs</w:t>
      </w:r>
      <w:r w:rsidRPr="00374DD7">
        <w:rPr>
          <w:rFonts w:ascii="Times New Roman" w:eastAsia="Times New Roman" w:hAnsi="Times New Roman" w:cs="Times New Roman"/>
          <w:color w:val="000000"/>
          <w:sz w:val="24"/>
          <w:szCs w:val="24"/>
        </w:rPr>
        <w:t xml:space="preserve">, 968 F.2d 810, 817 (9th Cir. 1992) (applying test of whether there was substantial likelihood that, under all the circumstances, omitted fact would have assumed actual significance in deliberations of reasonable shareholder); </w:t>
      </w:r>
      <w:r w:rsidRPr="00374DD7">
        <w:rPr>
          <w:rFonts w:ascii="Times New Roman" w:eastAsia="Times New Roman" w:hAnsi="Times New Roman" w:cs="Times New Roman"/>
          <w:i/>
          <w:iCs/>
          <w:color w:val="000000"/>
          <w:sz w:val="24"/>
          <w:szCs w:val="24"/>
        </w:rPr>
        <w:t>see also In re Atossa Genetics Inc. Sec. Litig.</w:t>
      </w:r>
      <w:r w:rsidRPr="00374DD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74DD7">
        <w:rPr>
          <w:rFonts w:ascii="Times New Roman" w:eastAsia="Times New Roman" w:hAnsi="Times New Roman" w:cs="Times New Roman"/>
          <w:color w:val="000000"/>
          <w:sz w:val="24"/>
          <w:szCs w:val="24"/>
        </w:rPr>
        <w:t xml:space="preserve">868 F.3d 784, 795-96 (9th Cir. 2017) (discussing relationship between materiality and reliance and noting that “materiality” may be different when plaintiff alleges direct reliance on misrepresentation, rather than fraud-on-the-market theory).For a discussion of the distinction between mere puffery, which is not material, and a statement that is materially misleading, </w:t>
      </w:r>
      <w:r w:rsidRPr="00374DD7">
        <w:rPr>
          <w:rFonts w:ascii="Times New Roman" w:eastAsia="Times New Roman" w:hAnsi="Times New Roman" w:cs="Times New Roman"/>
          <w:i/>
          <w:iCs/>
          <w:color w:val="000000"/>
          <w:sz w:val="24"/>
          <w:szCs w:val="24"/>
        </w:rPr>
        <w:t>see In re Quality Systems, Inc. Sec. Litig.</w:t>
      </w:r>
      <w:r w:rsidRPr="00374DD7">
        <w:rPr>
          <w:rFonts w:ascii="Times New Roman" w:eastAsia="Times New Roman" w:hAnsi="Times New Roman" w:cs="Times New Roman"/>
          <w:color w:val="000000"/>
          <w:sz w:val="24"/>
          <w:szCs w:val="24"/>
        </w:rPr>
        <w:t xml:space="preserve">, 865 F.3d 1130, 1143-44 (9th Cir. 2017). </w:t>
      </w:r>
      <w:r w:rsidRPr="00374DD7">
        <w:rPr>
          <w:rFonts w:ascii="Times New Roman" w:eastAsia="Times New Roman" w:hAnsi="Times New Roman" w:cs="Times New Roman"/>
          <w:i/>
          <w:iCs/>
          <w:color w:val="000000"/>
          <w:sz w:val="24"/>
          <w:szCs w:val="24"/>
        </w:rPr>
        <w:t>See also In re Sorrento Therapeutics, Inc. Sec. Litig., </w:t>
      </w:r>
      <w:r w:rsidRPr="00374DD7">
        <w:rPr>
          <w:rFonts w:ascii="Times New Roman" w:eastAsia="Times New Roman" w:hAnsi="Times New Roman" w:cs="Times New Roman"/>
          <w:color w:val="000000"/>
          <w:sz w:val="24"/>
          <w:szCs w:val="24"/>
        </w:rPr>
        <w:t>97 F.4th 634, 641 (9th Cir. 2024) (concluding that a biopharmaceutical company’s statements regarding a promising cure for COVID-19 was simply enthusiasm and corporate optimism rather than materially misleading</w:t>
      </w:r>
      <w:proofErr w:type="gramStart"/>
      <w:r w:rsidRPr="00374DD7">
        <w:rPr>
          <w:rFonts w:ascii="Times New Roman" w:eastAsia="Times New Roman" w:hAnsi="Times New Roman" w:cs="Times New Roman"/>
          <w:color w:val="000000"/>
          <w:sz w:val="24"/>
          <w:szCs w:val="24"/>
        </w:rPr>
        <w:t>).In</w:t>
      </w:r>
      <w:proofErr w:type="gramEnd"/>
      <w:r w:rsidRPr="00374DD7">
        <w:rPr>
          <w:rFonts w:ascii="Times New Roman" w:eastAsia="Times New Roman" w:hAnsi="Times New Roman" w:cs="Times New Roman"/>
          <w:color w:val="000000"/>
          <w:sz w:val="24"/>
          <w:szCs w:val="24"/>
        </w:rPr>
        <w:t xml:space="preserve"> evaluating materiality, courts may consider SEC interpretive guidance. </w:t>
      </w:r>
      <w:r w:rsidRPr="00374DD7">
        <w:rPr>
          <w:rFonts w:ascii="Times New Roman" w:eastAsia="Times New Roman" w:hAnsi="Times New Roman" w:cs="Times New Roman"/>
          <w:i/>
          <w:iCs/>
          <w:color w:val="000000"/>
          <w:sz w:val="24"/>
          <w:szCs w:val="24"/>
        </w:rPr>
        <w:t>See In re Alphabet, Inc. Sec. Litig</w:t>
      </w:r>
      <w:r w:rsidRPr="00374DD7">
        <w:rPr>
          <w:rFonts w:ascii="Times New Roman" w:eastAsia="Times New Roman" w:hAnsi="Times New Roman" w:cs="Times New Roman"/>
          <w:color w:val="000000"/>
          <w:sz w:val="24"/>
          <w:szCs w:val="24"/>
        </w:rPr>
        <w:t xml:space="preserve">., 1 F.4th at 700.The Ninth Circuit has held that stock price movements </w:t>
      </w:r>
      <w:r w:rsidRPr="00374DD7">
        <w:rPr>
          <w:rFonts w:ascii="Times New Roman" w:eastAsia="Times New Roman" w:hAnsi="Times New Roman" w:cs="Times New Roman"/>
          <w:color w:val="000000"/>
          <w:sz w:val="24"/>
          <w:szCs w:val="24"/>
        </w:rPr>
        <w:lastRenderedPageBreak/>
        <w:t xml:space="preserve">are relevant to reliance, and not to materiality. </w:t>
      </w:r>
      <w:r w:rsidRPr="00374DD7">
        <w:rPr>
          <w:rFonts w:ascii="Times New Roman" w:eastAsia="Times New Roman" w:hAnsi="Times New Roman" w:cs="Times New Roman"/>
          <w:i/>
          <w:iCs/>
          <w:color w:val="000000"/>
          <w:sz w:val="24"/>
          <w:szCs w:val="24"/>
        </w:rPr>
        <w:t xml:space="preserve">See Retail Wholesale &amp; </w:t>
      </w:r>
      <w:proofErr w:type="spellStart"/>
      <w:r w:rsidRPr="00374DD7">
        <w:rPr>
          <w:rFonts w:ascii="Times New Roman" w:eastAsia="Times New Roman" w:hAnsi="Times New Roman" w:cs="Times New Roman"/>
          <w:i/>
          <w:iCs/>
          <w:color w:val="000000"/>
          <w:sz w:val="24"/>
          <w:szCs w:val="24"/>
        </w:rPr>
        <w:t>Dep’t</w:t>
      </w:r>
      <w:proofErr w:type="spellEnd"/>
      <w:r w:rsidRPr="00374DD7">
        <w:rPr>
          <w:rFonts w:ascii="Times New Roman" w:eastAsia="Times New Roman" w:hAnsi="Times New Roman" w:cs="Times New Roman"/>
          <w:i/>
          <w:iCs/>
          <w:color w:val="000000"/>
          <w:sz w:val="24"/>
          <w:szCs w:val="24"/>
        </w:rPr>
        <w:t xml:space="preserve"> Store Union Local 338 Retirement Fund v. Hewlett-Packard Co.</w:t>
      </w:r>
      <w:r w:rsidRPr="00374DD7">
        <w:rPr>
          <w:rFonts w:ascii="Times New Roman" w:eastAsia="Times New Roman" w:hAnsi="Times New Roman" w:cs="Times New Roman"/>
          <w:color w:val="000000"/>
          <w:sz w:val="24"/>
          <w:szCs w:val="24"/>
        </w:rPr>
        <w:t>, 845 F.3d 1268, 1277 (9th Cir. 2017).</w:t>
      </w:r>
    </w:p>
    <w:p w14:paraId="5267B716" w14:textId="77777777" w:rsidR="005C657D" w:rsidRPr="004A311D" w:rsidRDefault="005C657D" w:rsidP="005C657D">
      <w:pPr>
        <w:autoSpaceDE w:val="0"/>
        <w:autoSpaceDN w:val="0"/>
        <w:adjustRightInd w:val="0"/>
        <w:spacing w:after="0" w:line="240" w:lineRule="auto"/>
        <w:rPr>
          <w:rFonts w:ascii="TimesNewRomanPSMT" w:hAnsi="TimesNewRomanPSMT" w:cs="TimesNewRomanPSMT"/>
          <w:sz w:val="24"/>
          <w:szCs w:val="24"/>
          <w14:ligatures w14:val="standardContextual"/>
        </w:rPr>
      </w:pPr>
      <w:bookmarkStart w:id="3" w:name="_Hlk221525039"/>
    </w:p>
    <w:p w14:paraId="0BD81514" w14:textId="65E40FB7" w:rsidR="005C657D" w:rsidRPr="004A311D" w:rsidRDefault="005C657D" w:rsidP="005C657D">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r w:rsidRPr="004A311D">
        <w:rPr>
          <w:rFonts w:ascii="TimesNewRomanPSMT" w:hAnsi="TimesNewRomanPSMT" w:cs="TimesNewRomanPSMT"/>
          <w:sz w:val="24"/>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 w:val="24"/>
          <w:szCs w:val="24"/>
          <w14:ligatures w14:val="standardContextual"/>
        </w:rPr>
        <w:t xml:space="preserve">Sneed v. </w:t>
      </w:r>
      <w:proofErr w:type="spellStart"/>
      <w:r w:rsidRPr="004A311D">
        <w:rPr>
          <w:rFonts w:ascii="TimesNewRomanPS-ItalicMT" w:hAnsi="TimesNewRomanPS-ItalicMT" w:cs="TimesNewRomanPS-ItalicMT"/>
          <w:i/>
          <w:iCs/>
          <w:sz w:val="24"/>
          <w:szCs w:val="24"/>
          <w14:ligatures w14:val="standardContextual"/>
        </w:rPr>
        <w:t>Talphera</w:t>
      </w:r>
      <w:proofErr w:type="spellEnd"/>
      <w:r w:rsidRPr="004A311D">
        <w:rPr>
          <w:rFonts w:ascii="TimesNewRomanPS-ItalicMT" w:hAnsi="TimesNewRomanPS-ItalicMT" w:cs="TimesNewRomanPS-ItalicMT"/>
          <w:i/>
          <w:iCs/>
          <w:sz w:val="24"/>
          <w:szCs w:val="24"/>
          <w14:ligatures w14:val="standardContextual"/>
        </w:rPr>
        <w:t xml:space="preserve">, Inc., </w:t>
      </w:r>
      <w:r w:rsidRPr="004A311D">
        <w:rPr>
          <w:rFonts w:ascii="TimesNewRomanPSMT" w:hAnsi="TimesNewRomanPSMT" w:cs="TimesNewRomanPSMT"/>
          <w:sz w:val="24"/>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 w:val="24"/>
          <w:szCs w:val="24"/>
          <w14:ligatures w14:val="standardContextual"/>
        </w:rPr>
        <w:t xml:space="preserve">Id. </w:t>
      </w:r>
      <w:r w:rsidRPr="004A311D">
        <w:rPr>
          <w:rFonts w:ascii="TimesNewRomanPSMT" w:hAnsi="TimesNewRomanPSMT" w:cs="TimesNewRomanPSMT"/>
          <w:sz w:val="24"/>
          <w:szCs w:val="24"/>
          <w14:ligatures w14:val="standardContextual"/>
        </w:rPr>
        <w:t xml:space="preserve">(quoting </w:t>
      </w:r>
      <w:r w:rsidRPr="004A311D">
        <w:rPr>
          <w:rFonts w:ascii="TimesNewRomanPS-ItalicMT" w:hAnsi="TimesNewRomanPS-ItalicMT" w:cs="TimesNewRomanPS-ItalicMT"/>
          <w:i/>
          <w:iCs/>
          <w:sz w:val="24"/>
          <w:szCs w:val="24"/>
          <w14:ligatures w14:val="standardContextual"/>
        </w:rPr>
        <w:t xml:space="preserve">Weston Fam. </w:t>
      </w:r>
      <w:proofErr w:type="spellStart"/>
      <w:r w:rsidRPr="004A311D">
        <w:rPr>
          <w:rFonts w:ascii="TimesNewRomanPS-ItalicMT" w:hAnsi="TimesNewRomanPS-ItalicMT" w:cs="TimesNewRomanPS-ItalicMT"/>
          <w:i/>
          <w:iCs/>
          <w:sz w:val="24"/>
          <w:szCs w:val="24"/>
          <w14:ligatures w14:val="standardContextual"/>
        </w:rPr>
        <w:t>P’ship</w:t>
      </w:r>
      <w:proofErr w:type="spellEnd"/>
      <w:r w:rsidRPr="004A311D">
        <w:rPr>
          <w:rFonts w:ascii="TimesNewRomanPS-ItalicMT" w:hAnsi="TimesNewRomanPS-ItalicMT" w:cs="TimesNewRomanPS-ItalicMT"/>
          <w:i/>
          <w:iCs/>
          <w:sz w:val="24"/>
          <w:szCs w:val="24"/>
          <w14:ligatures w14:val="standardContextual"/>
        </w:rPr>
        <w:t>. LLLP v.</w:t>
      </w:r>
      <w:r w:rsidRPr="004A311D">
        <w:rPr>
          <w:rFonts w:ascii="TimesNewRomanPSMT" w:hAnsi="TimesNewRomanPSMT" w:cs="TimesNewRomanPSMT"/>
          <w:sz w:val="24"/>
          <w:szCs w:val="24"/>
          <w14:ligatures w14:val="standardContextual"/>
        </w:rPr>
        <w:t xml:space="preserve"> </w:t>
      </w:r>
      <w:r w:rsidRPr="004A311D">
        <w:rPr>
          <w:rFonts w:ascii="TimesNewRomanPS-ItalicMT" w:hAnsi="TimesNewRomanPS-ItalicMT" w:cs="TimesNewRomanPS-ItalicMT"/>
          <w:i/>
          <w:iCs/>
          <w:sz w:val="24"/>
          <w:szCs w:val="24"/>
          <w14:ligatures w14:val="standardContextual"/>
        </w:rPr>
        <w:t>Twitter, Inc.</w:t>
      </w:r>
      <w:r w:rsidRPr="004A311D">
        <w:rPr>
          <w:rFonts w:ascii="TimesNewRomanPSMT" w:hAnsi="TimesNewRomanPSMT" w:cs="TimesNewRomanPSMT"/>
          <w:sz w:val="24"/>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 w:val="24"/>
          <w:szCs w:val="24"/>
          <w14:ligatures w14:val="standardContextual"/>
        </w:rPr>
        <w:t xml:space="preserve">Id. </w:t>
      </w:r>
      <w:r w:rsidRPr="004A311D">
        <w:rPr>
          <w:rFonts w:ascii="TimesNewRomanPSMT" w:hAnsi="TimesNewRomanPSMT" w:cs="TimesNewRomanPSMT"/>
          <w:sz w:val="24"/>
          <w:szCs w:val="24"/>
          <w14:ligatures w14:val="standardContextual"/>
        </w:rPr>
        <w:t xml:space="preserve">(citing </w:t>
      </w:r>
      <w:r w:rsidRPr="004A311D">
        <w:rPr>
          <w:rFonts w:ascii="TimesNewRomanPS-ItalicMT" w:hAnsi="TimesNewRomanPS-ItalicMT" w:cs="TimesNewRomanPS-ItalicMT"/>
          <w:i/>
          <w:iCs/>
          <w:sz w:val="24"/>
          <w:szCs w:val="24"/>
          <w14:ligatures w14:val="standardContextual"/>
        </w:rPr>
        <w:t>SEC v. Monarch Fund</w:t>
      </w:r>
      <w:r w:rsidRPr="004A311D">
        <w:rPr>
          <w:rFonts w:ascii="TimesNewRomanPSMT" w:hAnsi="TimesNewRomanPSMT" w:cs="TimesNewRomanPSMT"/>
          <w:sz w:val="24"/>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 w:val="24"/>
          <w:szCs w:val="24"/>
          <w14:ligatures w14:val="standardContextual"/>
        </w:rPr>
        <w:t>Omnicare, Inc. v. Laborers Dist. Council Const. Indus. Pension Fund</w:t>
      </w:r>
      <w:r w:rsidRPr="004A311D">
        <w:rPr>
          <w:rFonts w:ascii="TimesNewRomanPSMT" w:hAnsi="TimesNewRomanPSMT" w:cs="TimesNewRomanPSMT"/>
          <w:sz w:val="24"/>
          <w:szCs w:val="24"/>
          <w14:ligatures w14:val="standardContextual"/>
        </w:rPr>
        <w:t>, 575 U.S. 175</w:t>
      </w:r>
      <w:r w:rsidR="004044D6" w:rsidRPr="004A311D">
        <w:rPr>
          <w:rFonts w:ascii="TimesNewRomanPSMT" w:hAnsi="TimesNewRomanPSMT" w:cs="TimesNewRomanPSMT"/>
          <w:sz w:val="24"/>
          <w:szCs w:val="24"/>
          <w14:ligatures w14:val="standardContextual"/>
        </w:rPr>
        <w:t xml:space="preserve"> </w:t>
      </w:r>
      <w:r w:rsidRPr="004A311D">
        <w:rPr>
          <w:rFonts w:ascii="TimesNewRomanPSMT" w:hAnsi="TimesNewRomanPSMT" w:cs="TimesNewRomanPSMT"/>
          <w:sz w:val="24"/>
          <w:szCs w:val="24"/>
          <w14:ligatures w14:val="standardContextual"/>
        </w:rPr>
        <w:t>(2015).</w:t>
      </w:r>
    </w:p>
    <w:p w14:paraId="0908D4DB" w14:textId="77777777" w:rsidR="004A311D" w:rsidRPr="004A311D" w:rsidRDefault="004A311D" w:rsidP="005C657D">
      <w:pPr>
        <w:autoSpaceDE w:val="0"/>
        <w:autoSpaceDN w:val="0"/>
        <w:adjustRightInd w:val="0"/>
        <w:spacing w:after="0" w:line="240" w:lineRule="auto"/>
        <w:ind w:firstLine="720"/>
        <w:rPr>
          <w:rFonts w:ascii="TimesNewRomanPSMT" w:hAnsi="TimesNewRomanPSMT" w:cs="TimesNewRomanPSMT"/>
          <w:sz w:val="24"/>
          <w:szCs w:val="24"/>
          <w14:ligatures w14:val="standardContextual"/>
        </w:rPr>
      </w:pPr>
    </w:p>
    <w:p w14:paraId="3EE543C7" w14:textId="7B06DB0B" w:rsidR="005C657D" w:rsidRPr="004A311D" w:rsidRDefault="005C657D" w:rsidP="005C657D">
      <w:pPr>
        <w:autoSpaceDE w:val="0"/>
        <w:autoSpaceDN w:val="0"/>
        <w:adjustRightInd w:val="0"/>
        <w:spacing w:after="0" w:line="240" w:lineRule="auto"/>
        <w:ind w:firstLine="720"/>
        <w:rPr>
          <w:rFonts w:ascii="TimesNewRomanPSMT" w:hAnsi="TimesNewRomanPSMT" w:cs="TimesNewRomanPSMT"/>
          <w:i/>
          <w:iCs/>
          <w:sz w:val="24"/>
          <w:szCs w:val="24"/>
          <w14:ligatures w14:val="standardContextual"/>
        </w:rPr>
      </w:pPr>
      <w:r w:rsidRPr="004A311D">
        <w:rPr>
          <w:rFonts w:ascii="TimesNewRomanPSMT" w:hAnsi="TimesNewRomanPSMT" w:cs="TimesNewRomanPSMT"/>
          <w:sz w:val="24"/>
          <w:szCs w:val="24"/>
          <w14:ligatures w14:val="standardContextual"/>
        </w:rPr>
        <w:t xml:space="preserve">In </w:t>
      </w:r>
      <w:r w:rsidRPr="004A311D">
        <w:rPr>
          <w:rFonts w:ascii="TimesNewRomanPSMT" w:hAnsi="TimesNewRomanPSMT" w:cs="TimesNewRomanPSMT"/>
          <w:i/>
          <w:iCs/>
          <w:sz w:val="24"/>
          <w:szCs w:val="24"/>
          <w14:ligatures w14:val="standardContextual"/>
        </w:rPr>
        <w:t>Sneed</w:t>
      </w:r>
      <w:r w:rsidRPr="004A311D">
        <w:rPr>
          <w:rFonts w:ascii="TimesNewRomanPSMT" w:hAnsi="TimesNewRomanPSMT" w:cs="TimesNewRomanPSMT"/>
          <w:sz w:val="24"/>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 w:val="24"/>
          <w:szCs w:val="24"/>
          <w14:ligatures w14:val="standardContextual"/>
        </w:rPr>
        <w:t>Police Ret. Sys. of St. Louis v. Intuitive Surgical</w:t>
      </w:r>
      <w:r w:rsidRPr="004A311D">
        <w:rPr>
          <w:rFonts w:ascii="TimesNewRomanPSMT" w:hAnsi="TimesNewRomanPSMT" w:cs="TimesNewRomanPSMT"/>
          <w:sz w:val="24"/>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 w:val="24"/>
          <w:szCs w:val="24"/>
          <w14:ligatures w14:val="standardContextual"/>
        </w:rPr>
        <w:t>Id.</w:t>
      </w:r>
    </w:p>
    <w:bookmarkEnd w:id="3"/>
    <w:p w14:paraId="79929F0E" w14:textId="77777777" w:rsidR="005C657D" w:rsidRPr="005C657D" w:rsidRDefault="005C657D" w:rsidP="005C657D">
      <w:pPr>
        <w:autoSpaceDE w:val="0"/>
        <w:autoSpaceDN w:val="0"/>
        <w:adjustRightInd w:val="0"/>
        <w:spacing w:after="0" w:line="240" w:lineRule="auto"/>
        <w:ind w:firstLine="720"/>
        <w:rPr>
          <w:rFonts w:ascii="TimesNewRomanPSMT" w:hAnsi="TimesNewRomanPSMT" w:cs="TimesNewRomanPSMT"/>
          <w:color w:val="FF0000"/>
          <w:sz w:val="24"/>
          <w:szCs w:val="24"/>
          <w14:ligatures w14:val="standardContextual"/>
        </w:rPr>
      </w:pPr>
    </w:p>
    <w:p w14:paraId="04F83375" w14:textId="0848123F" w:rsidR="00DE4C36" w:rsidRDefault="00DE4C36" w:rsidP="00DE4C36">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374DD7">
        <w:rPr>
          <w:rFonts w:ascii="Times New Roman" w:eastAsia="Times New Roman" w:hAnsi="Times New Roman" w:cs="Times New Roman"/>
          <w:color w:val="000000"/>
          <w:sz w:val="24"/>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374DD7">
        <w:rPr>
          <w:rFonts w:ascii="Times New Roman" w:eastAsia="Times New Roman" w:hAnsi="Times New Roman" w:cs="Times New Roman"/>
          <w:i/>
          <w:iCs/>
          <w:color w:val="000000"/>
          <w:sz w:val="24"/>
          <w:szCs w:val="24"/>
        </w:rPr>
        <w:t>See In re Nektar Therapeutics Securities Litigation</w:t>
      </w:r>
      <w:r w:rsidRPr="00374DD7">
        <w:rPr>
          <w:rFonts w:ascii="Times New Roman" w:eastAsia="Times New Roman" w:hAnsi="Times New Roman" w:cs="Times New Roman"/>
          <w:color w:val="000000"/>
          <w:sz w:val="24"/>
          <w:szCs w:val="24"/>
        </w:rPr>
        <w:t>, 34 F.4th 828, 837 (9th</w:t>
      </w:r>
      <w:r>
        <w:rPr>
          <w:rFonts w:ascii="Times New Roman" w:eastAsia="Times New Roman" w:hAnsi="Times New Roman" w:cs="Times New Roman"/>
          <w:color w:val="000000"/>
          <w:sz w:val="24"/>
          <w:szCs w:val="24"/>
        </w:rPr>
        <w:t xml:space="preserve"> </w:t>
      </w:r>
      <w:r w:rsidRPr="00374DD7">
        <w:rPr>
          <w:rFonts w:ascii="Times New Roman" w:eastAsia="Times New Roman" w:hAnsi="Times New Roman" w:cs="Times New Roman"/>
          <w:color w:val="000000"/>
          <w:sz w:val="24"/>
          <w:szCs w:val="24"/>
        </w:rPr>
        <w:t>Cir. 2022).</w:t>
      </w:r>
    </w:p>
    <w:p w14:paraId="4512A945" w14:textId="77777777" w:rsidR="00727BE5" w:rsidRPr="00FA51AB" w:rsidRDefault="00727BE5" w:rsidP="00DE4C36">
      <w:pPr>
        <w:autoSpaceDE w:val="0"/>
        <w:autoSpaceDN w:val="0"/>
        <w:adjustRightInd w:val="0"/>
        <w:spacing w:after="0" w:line="240" w:lineRule="auto"/>
        <w:ind w:firstLine="720"/>
        <w:rPr>
          <w:rFonts w:ascii="Times New Roman" w:hAnsi="Times New Roman" w:cs="Times New Roman"/>
          <w:sz w:val="24"/>
          <w:szCs w:val="24"/>
        </w:rPr>
      </w:pPr>
    </w:p>
    <w:p w14:paraId="7255D3CE" w14:textId="793BCC33" w:rsidR="00C30C2C" w:rsidRPr="00DE4C36" w:rsidRDefault="00DE4C36" w:rsidP="00DE4C36">
      <w:pPr>
        <w:autoSpaceDE w:val="0"/>
        <w:autoSpaceDN w:val="0"/>
        <w:adjustRightInd w:val="0"/>
        <w:spacing w:after="0" w:line="240" w:lineRule="auto"/>
        <w:jc w:val="right"/>
        <w:rPr>
          <w:rFonts w:ascii="Times New Roman" w:hAnsi="Times New Roman" w:cs="Times New Roman"/>
          <w:i/>
          <w:iCs/>
          <w:sz w:val="24"/>
          <w:szCs w:val="24"/>
        </w:rPr>
      </w:pPr>
      <w:r w:rsidRPr="00374DD7">
        <w:rPr>
          <w:rFonts w:ascii="Times New Roman" w:hAnsi="Times New Roman" w:cs="Times New Roman"/>
          <w:i/>
          <w:iCs/>
          <w:sz w:val="24"/>
          <w:szCs w:val="24"/>
        </w:rPr>
        <w:t xml:space="preserve"> </w:t>
      </w:r>
      <w:r w:rsidR="00365A9C">
        <w:rPr>
          <w:rFonts w:ascii="Times New Roman" w:hAnsi="Times New Roman" w:cs="Times New Roman"/>
          <w:i/>
          <w:iCs/>
          <w:sz w:val="24"/>
          <w:szCs w:val="24"/>
        </w:rPr>
        <w:t xml:space="preserve">Revised </w:t>
      </w:r>
      <w:r w:rsidR="005C657D">
        <w:rPr>
          <w:rFonts w:ascii="Times New Roman" w:hAnsi="Times New Roman" w:cs="Times New Roman"/>
          <w:i/>
          <w:iCs/>
          <w:sz w:val="24"/>
          <w:szCs w:val="24"/>
        </w:rPr>
        <w:t>December 2025</w:t>
      </w:r>
    </w:p>
    <w:sectPr w:rsidR="00C30C2C" w:rsidRPr="00DE4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6"/>
    <w:rsid w:val="0001407E"/>
    <w:rsid w:val="001F1832"/>
    <w:rsid w:val="00235FFF"/>
    <w:rsid w:val="00365A9C"/>
    <w:rsid w:val="004044D6"/>
    <w:rsid w:val="004A311D"/>
    <w:rsid w:val="0057449A"/>
    <w:rsid w:val="005C657D"/>
    <w:rsid w:val="00695F6A"/>
    <w:rsid w:val="006E771A"/>
    <w:rsid w:val="00727BE5"/>
    <w:rsid w:val="00895AE7"/>
    <w:rsid w:val="00BC67C9"/>
    <w:rsid w:val="00C30C2C"/>
    <w:rsid w:val="00C64593"/>
    <w:rsid w:val="00DB7C92"/>
    <w:rsid w:val="00DE4C36"/>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DB0A"/>
  <w15:chartTrackingRefBased/>
  <w15:docId w15:val="{603440AA-D581-4E95-B450-1AAAD0E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36"/>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5C657D"/>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6</cp:revision>
  <dcterms:created xsi:type="dcterms:W3CDTF">2024-10-30T18:24:00Z</dcterms:created>
  <dcterms:modified xsi:type="dcterms:W3CDTF">2026-02-09T18:24:00Z</dcterms:modified>
</cp:coreProperties>
</file>