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620A3" w14:textId="73146344" w:rsidR="00276FD3" w:rsidRPr="00374DD7" w:rsidRDefault="00276FD3" w:rsidP="00276FD3">
      <w:pPr>
        <w:autoSpaceDE w:val="0"/>
        <w:autoSpaceDN w:val="0"/>
        <w:adjustRightInd w:val="0"/>
        <w:spacing w:after="0" w:line="240" w:lineRule="auto"/>
        <w:jc w:val="center"/>
        <w:outlineLvl w:val="1"/>
        <w:rPr>
          <w:rFonts w:ascii="Times New Roman" w:hAnsi="Times New Roman" w:cs="Times New Roman"/>
          <w:b/>
          <w:bCs/>
          <w:sz w:val="24"/>
          <w:szCs w:val="24"/>
        </w:rPr>
      </w:pPr>
      <w:bookmarkStart w:id="0" w:name="_Toc149646608"/>
      <w:bookmarkStart w:id="1" w:name="_Toc175067675"/>
      <w:r w:rsidRPr="00374DD7">
        <w:rPr>
          <w:rFonts w:ascii="Times New Roman" w:hAnsi="Times New Roman" w:cs="Times New Roman"/>
          <w:b/>
          <w:bCs/>
          <w:sz w:val="24"/>
          <w:szCs w:val="24"/>
        </w:rPr>
        <w:t>18.5 Securities—Knowingly</w:t>
      </w:r>
      <w:bookmarkEnd w:id="0"/>
      <w:bookmarkEnd w:id="1"/>
      <w:r w:rsidR="007411EE">
        <w:rPr>
          <w:rFonts w:ascii="Times New Roman" w:hAnsi="Times New Roman" w:cs="Times New Roman"/>
          <w:b/>
          <w:bCs/>
          <w:sz w:val="24"/>
          <w:szCs w:val="24"/>
        </w:rPr>
        <w:t xml:space="preserve"> and Recklessly</w:t>
      </w:r>
    </w:p>
    <w:p w14:paraId="226EE2A3" w14:textId="77777777" w:rsidR="00276FD3" w:rsidRPr="00374DD7" w:rsidRDefault="00276FD3" w:rsidP="00276FD3">
      <w:pPr>
        <w:numPr>
          <w:ilvl w:val="12"/>
          <w:numId w:val="0"/>
        </w:numPr>
        <w:autoSpaceDE w:val="0"/>
        <w:autoSpaceDN w:val="0"/>
        <w:adjustRightInd w:val="0"/>
        <w:spacing w:after="0" w:line="240" w:lineRule="auto"/>
        <w:rPr>
          <w:rFonts w:ascii="Times New Roman" w:hAnsi="Times New Roman" w:cs="Times New Roman"/>
          <w:sz w:val="24"/>
          <w:szCs w:val="24"/>
        </w:rPr>
      </w:pPr>
    </w:p>
    <w:p w14:paraId="21AA167E" w14:textId="5DF9725C" w:rsidR="0044358B" w:rsidRPr="0044358B" w:rsidRDefault="00276FD3" w:rsidP="0044358B">
      <w:pPr>
        <w:shd w:val="clear" w:color="auto" w:fill="FFFFFF"/>
        <w:rPr>
          <w:rFonts w:ascii="Times New Roman" w:eastAsia="Times New Roman" w:hAnsi="Times New Roman" w:cs="Times New Roman"/>
          <w:sz w:val="24"/>
          <w:szCs w:val="24"/>
        </w:rPr>
      </w:pPr>
      <w:r w:rsidRPr="00374DD7">
        <w:rPr>
          <w:rFonts w:ascii="Times New Roman" w:hAnsi="Times New Roman" w:cs="Times New Roman"/>
          <w:sz w:val="24"/>
          <w:szCs w:val="24"/>
        </w:rPr>
        <w:tab/>
      </w:r>
      <w:r w:rsidR="0044358B" w:rsidRPr="0044358B">
        <w:rPr>
          <w:rFonts w:ascii="Times New Roman" w:eastAsia="Times New Roman" w:hAnsi="Times New Roman" w:cs="Times New Roman"/>
          <w:sz w:val="24"/>
          <w:szCs w:val="24"/>
        </w:rPr>
        <w:t xml:space="preserve">[A defendant acts knowingly when [he] [she] </w:t>
      </w:r>
      <w:r w:rsidR="0044358B" w:rsidRPr="0044358B">
        <w:rPr>
          <w:rFonts w:ascii="Times New Roman" w:hAnsi="Times New Roman" w:cs="Times New Roman"/>
          <w:sz w:val="24"/>
          <w:szCs w:val="24"/>
        </w:rPr>
        <w:t>[</w:t>
      </w:r>
      <w:r w:rsidR="0044358B" w:rsidRPr="0044358B">
        <w:rPr>
          <w:rFonts w:ascii="Times New Roman" w:hAnsi="Times New Roman" w:cs="Times New Roman"/>
          <w:i/>
          <w:iCs/>
          <w:sz w:val="24"/>
          <w:szCs w:val="24"/>
          <w:u w:val="single"/>
        </w:rPr>
        <w:t>other pronoun</w:t>
      </w:r>
      <w:r w:rsidR="0044358B" w:rsidRPr="0044358B">
        <w:rPr>
          <w:rFonts w:ascii="Times New Roman" w:hAnsi="Times New Roman" w:cs="Times New Roman"/>
          <w:sz w:val="24"/>
          <w:szCs w:val="24"/>
        </w:rPr>
        <w:t xml:space="preserve">] </w:t>
      </w:r>
      <w:r w:rsidR="0044358B" w:rsidRPr="0044358B">
        <w:rPr>
          <w:rFonts w:ascii="Times New Roman" w:eastAsia="Times New Roman" w:hAnsi="Times New Roman" w:cs="Times New Roman"/>
          <w:sz w:val="24"/>
          <w:szCs w:val="24"/>
        </w:rPr>
        <w:t xml:space="preserve">makes an untrue statement with the knowledge that the statement was false or with reckless disregard for whether the statement was true.] [A defendant acts knowingly when [he] [she] </w:t>
      </w:r>
      <w:r w:rsidR="0044358B" w:rsidRPr="0044358B">
        <w:rPr>
          <w:rFonts w:ascii="Times New Roman" w:hAnsi="Times New Roman" w:cs="Times New Roman"/>
          <w:sz w:val="24"/>
          <w:szCs w:val="24"/>
        </w:rPr>
        <w:t>[</w:t>
      </w:r>
      <w:r w:rsidR="0044358B" w:rsidRPr="0044358B">
        <w:rPr>
          <w:rFonts w:ascii="Times New Roman" w:hAnsi="Times New Roman" w:cs="Times New Roman"/>
          <w:i/>
          <w:iCs/>
          <w:sz w:val="24"/>
          <w:szCs w:val="24"/>
          <w:u w:val="single"/>
        </w:rPr>
        <w:t>other pronoun</w:t>
      </w:r>
      <w:r w:rsidR="0044358B" w:rsidRPr="0044358B">
        <w:rPr>
          <w:rFonts w:ascii="Times New Roman" w:hAnsi="Times New Roman" w:cs="Times New Roman"/>
          <w:sz w:val="24"/>
          <w:szCs w:val="24"/>
        </w:rPr>
        <w:t xml:space="preserve">] </w:t>
      </w:r>
      <w:r w:rsidR="0044358B" w:rsidRPr="0044358B">
        <w:rPr>
          <w:rFonts w:ascii="Times New Roman" w:eastAsia="Times New Roman" w:hAnsi="Times New Roman" w:cs="Times New Roman"/>
          <w:sz w:val="24"/>
          <w:szCs w:val="24"/>
        </w:rPr>
        <w:t>omits necessary information with the knowledge that the omission would make the statement false or misleading or with reckless disregard for whether the omission would make the statement false or misleading.]</w:t>
      </w:r>
    </w:p>
    <w:p w14:paraId="11E99F3E" w14:textId="2CE5EB2B" w:rsidR="0044358B" w:rsidRPr="0044358B" w:rsidRDefault="0044358B" w:rsidP="0044358B">
      <w:pPr>
        <w:shd w:val="clear" w:color="auto" w:fill="FFFFFF"/>
        <w:ind w:firstLine="720"/>
        <w:rPr>
          <w:rFonts w:ascii="Times New Roman" w:hAnsi="Times New Roman" w:cs="Times New Roman"/>
          <w:sz w:val="24"/>
          <w:szCs w:val="24"/>
        </w:rPr>
      </w:pPr>
      <w:r w:rsidRPr="0044358B">
        <w:rPr>
          <w:rFonts w:ascii="Times New Roman" w:eastAsia="Times New Roman" w:hAnsi="Times New Roman" w:cs="Times New Roman"/>
          <w:sz w:val="24"/>
          <w:szCs w:val="24"/>
        </w:rPr>
        <w:t xml:space="preserve">[A defendant acts recklessly when [he] [she] </w:t>
      </w:r>
      <w:r w:rsidRPr="0044358B">
        <w:rPr>
          <w:rFonts w:ascii="Times New Roman" w:hAnsi="Times New Roman" w:cs="Times New Roman"/>
          <w:sz w:val="24"/>
          <w:szCs w:val="24"/>
        </w:rPr>
        <w:t>[</w:t>
      </w:r>
      <w:r w:rsidRPr="0044358B">
        <w:rPr>
          <w:rFonts w:ascii="Times New Roman" w:hAnsi="Times New Roman" w:cs="Times New Roman"/>
          <w:i/>
          <w:iCs/>
          <w:sz w:val="24"/>
          <w:szCs w:val="24"/>
          <w:u w:val="single"/>
        </w:rPr>
        <w:t>other pronoun</w:t>
      </w:r>
      <w:r w:rsidRPr="0044358B">
        <w:rPr>
          <w:rFonts w:ascii="Times New Roman" w:hAnsi="Times New Roman" w:cs="Times New Roman"/>
          <w:sz w:val="24"/>
          <w:szCs w:val="24"/>
        </w:rPr>
        <w:t xml:space="preserve">] </w:t>
      </w:r>
      <w:r w:rsidRPr="0044358B">
        <w:rPr>
          <w:rFonts w:ascii="Times New Roman" w:eastAsia="Times New Roman" w:hAnsi="Times New Roman" w:cs="Times New Roman"/>
          <w:sz w:val="24"/>
          <w:szCs w:val="24"/>
        </w:rPr>
        <w:t>engages in highly unreasonable conduct that is an extreme departure from ordinary care, presenting a danger of misleading investors, which is either known to the defendant or is so obvious that the defendant must have been aware of it.]</w:t>
      </w:r>
    </w:p>
    <w:p w14:paraId="4A8EC605" w14:textId="77777777" w:rsidR="0044358B" w:rsidRPr="0044358B" w:rsidRDefault="0044358B" w:rsidP="0044358B">
      <w:pPr>
        <w:numPr>
          <w:ilvl w:val="12"/>
          <w:numId w:val="0"/>
        </w:numPr>
        <w:autoSpaceDE w:val="0"/>
        <w:autoSpaceDN w:val="0"/>
        <w:adjustRightInd w:val="0"/>
        <w:jc w:val="center"/>
        <w:rPr>
          <w:rFonts w:ascii="Times New Roman" w:hAnsi="Times New Roman" w:cs="Times New Roman"/>
          <w:b/>
          <w:bCs/>
          <w:sz w:val="24"/>
          <w:szCs w:val="24"/>
        </w:rPr>
      </w:pPr>
      <w:r w:rsidRPr="0044358B">
        <w:rPr>
          <w:rFonts w:ascii="Times New Roman" w:hAnsi="Times New Roman" w:cs="Times New Roman"/>
          <w:b/>
          <w:bCs/>
          <w:sz w:val="24"/>
          <w:szCs w:val="24"/>
        </w:rPr>
        <w:t>Comment</w:t>
      </w:r>
    </w:p>
    <w:p w14:paraId="41B7FE30" w14:textId="1CE2D0E7" w:rsidR="0044358B" w:rsidRPr="0044358B" w:rsidRDefault="0044358B" w:rsidP="0044358B">
      <w:pPr>
        <w:shd w:val="clear" w:color="auto" w:fill="FFFFFF"/>
        <w:rPr>
          <w:rFonts w:ascii="Times New Roman" w:eastAsia="Times New Roman" w:hAnsi="Times New Roman" w:cs="Times New Roman"/>
          <w:sz w:val="24"/>
          <w:szCs w:val="24"/>
        </w:rPr>
      </w:pPr>
      <w:r w:rsidRPr="0044358B">
        <w:rPr>
          <w:rFonts w:ascii="Times New Roman" w:hAnsi="Times New Roman" w:cs="Times New Roman"/>
          <w:sz w:val="24"/>
          <w:szCs w:val="24"/>
        </w:rPr>
        <w:tab/>
      </w:r>
      <w:r w:rsidRPr="0044358B">
        <w:rPr>
          <w:rFonts w:ascii="Times New Roman" w:eastAsia="Times New Roman" w:hAnsi="Times New Roman" w:cs="Times New Roman"/>
          <w:sz w:val="24"/>
          <w:szCs w:val="24"/>
        </w:rPr>
        <w:t xml:space="preserve">This instruction addresses the element of “scienter,” which was developed in </w:t>
      </w:r>
      <w:r w:rsidRPr="0044358B">
        <w:rPr>
          <w:rFonts w:ascii="Times New Roman" w:eastAsia="Times New Roman" w:hAnsi="Times New Roman" w:cs="Times New Roman"/>
          <w:i/>
          <w:iCs/>
          <w:sz w:val="24"/>
          <w:szCs w:val="24"/>
        </w:rPr>
        <w:t>Ernst &amp; Ernst v. Hochfelder</w:t>
      </w:r>
      <w:r w:rsidRPr="0044358B">
        <w:rPr>
          <w:rFonts w:ascii="Times New Roman" w:eastAsia="Times New Roman" w:hAnsi="Times New Roman" w:cs="Times New Roman"/>
          <w:sz w:val="24"/>
          <w:szCs w:val="24"/>
        </w:rPr>
        <w:t xml:space="preserve">, 425 U.S. 185, 193, </w:t>
      </w:r>
      <w:r w:rsidRPr="0044358B">
        <w:rPr>
          <w:rFonts w:ascii="Times New Roman" w:eastAsia="Times New Roman" w:hAnsi="Times New Roman" w:cs="Times New Roman"/>
          <w:i/>
          <w:iCs/>
          <w:sz w:val="24"/>
          <w:szCs w:val="24"/>
        </w:rPr>
        <w:t>reh’g denied</w:t>
      </w:r>
      <w:r w:rsidRPr="0044358B">
        <w:rPr>
          <w:rFonts w:ascii="Times New Roman" w:eastAsia="Times New Roman" w:hAnsi="Times New Roman" w:cs="Times New Roman"/>
          <w:sz w:val="24"/>
          <w:szCs w:val="24"/>
        </w:rPr>
        <w:t xml:space="preserve">, 425 U.S. 986 (1976). In </w:t>
      </w:r>
      <w:r w:rsidRPr="0044358B">
        <w:rPr>
          <w:rFonts w:ascii="Times New Roman" w:eastAsia="Times New Roman" w:hAnsi="Times New Roman" w:cs="Times New Roman"/>
          <w:i/>
          <w:iCs/>
          <w:sz w:val="24"/>
          <w:szCs w:val="24"/>
        </w:rPr>
        <w:t xml:space="preserve">Nelson v. </w:t>
      </w:r>
      <w:proofErr w:type="spellStart"/>
      <w:r w:rsidRPr="0044358B">
        <w:rPr>
          <w:rFonts w:ascii="Times New Roman" w:eastAsia="Times New Roman" w:hAnsi="Times New Roman" w:cs="Times New Roman"/>
          <w:i/>
          <w:iCs/>
          <w:sz w:val="24"/>
          <w:szCs w:val="24"/>
        </w:rPr>
        <w:t>Serwold</w:t>
      </w:r>
      <w:proofErr w:type="spellEnd"/>
      <w:r w:rsidRPr="0044358B">
        <w:rPr>
          <w:rFonts w:ascii="Times New Roman" w:eastAsia="Times New Roman" w:hAnsi="Times New Roman" w:cs="Times New Roman"/>
          <w:sz w:val="24"/>
          <w:szCs w:val="24"/>
        </w:rPr>
        <w:t xml:space="preserve">, 576 F.2d 1332, 1337 (9th Cir. 1978), the court held that Congress intended Section 10(b) to reach both knowing and reckless conduct, and it interpreted the </w:t>
      </w:r>
      <w:r w:rsidRPr="0044358B">
        <w:rPr>
          <w:rFonts w:ascii="Times New Roman" w:eastAsia="Times New Roman" w:hAnsi="Times New Roman" w:cs="Times New Roman"/>
          <w:i/>
          <w:iCs/>
          <w:sz w:val="24"/>
          <w:szCs w:val="24"/>
        </w:rPr>
        <w:t xml:space="preserve">Ernst &amp; Ernst </w:t>
      </w:r>
      <w:r w:rsidRPr="0044358B">
        <w:rPr>
          <w:rFonts w:ascii="Times New Roman" w:eastAsia="Times New Roman" w:hAnsi="Times New Roman" w:cs="Times New Roman"/>
          <w:sz w:val="24"/>
          <w:szCs w:val="24"/>
        </w:rPr>
        <w:t>decision as merely eliminating negligence as a basis for liability.</w:t>
      </w:r>
    </w:p>
    <w:p w14:paraId="5A0424BC" w14:textId="06F82700" w:rsidR="0044358B" w:rsidRPr="0044358B" w:rsidRDefault="0044358B" w:rsidP="0044358B">
      <w:pPr>
        <w:shd w:val="clear" w:color="auto" w:fill="FFFFFF"/>
        <w:ind w:firstLine="720"/>
        <w:rPr>
          <w:rFonts w:ascii="Times New Roman" w:eastAsia="Times New Roman" w:hAnsi="Times New Roman" w:cs="Times New Roman"/>
          <w:sz w:val="24"/>
          <w:szCs w:val="24"/>
        </w:rPr>
      </w:pPr>
      <w:r w:rsidRPr="0044358B">
        <w:rPr>
          <w:rFonts w:ascii="Times New Roman" w:eastAsia="Times New Roman" w:hAnsi="Times New Roman" w:cs="Times New Roman"/>
          <w:sz w:val="24"/>
          <w:szCs w:val="24"/>
        </w:rPr>
        <w:t>In the Private Securities Litigation Reform Act of 1995 (“PSLRA”), 109 Stat. 737, Congress added “[e]</w:t>
      </w:r>
      <w:proofErr w:type="spellStart"/>
      <w:r w:rsidRPr="0044358B">
        <w:rPr>
          <w:rFonts w:ascii="Times New Roman" w:eastAsia="Times New Roman" w:hAnsi="Times New Roman" w:cs="Times New Roman"/>
          <w:sz w:val="24"/>
          <w:szCs w:val="24"/>
        </w:rPr>
        <w:t>xacting</w:t>
      </w:r>
      <w:proofErr w:type="spellEnd"/>
      <w:r w:rsidRPr="0044358B">
        <w:rPr>
          <w:rFonts w:ascii="Times New Roman" w:eastAsia="Times New Roman" w:hAnsi="Times New Roman" w:cs="Times New Roman"/>
          <w:sz w:val="24"/>
          <w:szCs w:val="24"/>
        </w:rPr>
        <w:t xml:space="preserve"> pleading requirements,” among other things, as a “check against abusive litigation.” </w:t>
      </w:r>
      <w:r w:rsidRPr="0044358B">
        <w:rPr>
          <w:rFonts w:ascii="Times New Roman" w:eastAsia="Times New Roman" w:hAnsi="Times New Roman" w:cs="Times New Roman"/>
          <w:i/>
          <w:iCs/>
          <w:sz w:val="24"/>
          <w:szCs w:val="24"/>
        </w:rPr>
        <w:t xml:space="preserve">Tellabs, Inc. v. Makor Issues &amp; </w:t>
      </w:r>
      <w:proofErr w:type="spellStart"/>
      <w:r w:rsidRPr="0044358B">
        <w:rPr>
          <w:rFonts w:ascii="Times New Roman" w:eastAsia="Times New Roman" w:hAnsi="Times New Roman" w:cs="Times New Roman"/>
          <w:i/>
          <w:iCs/>
          <w:sz w:val="24"/>
          <w:szCs w:val="24"/>
        </w:rPr>
        <w:t>Rts</w:t>
      </w:r>
      <w:proofErr w:type="spellEnd"/>
      <w:r w:rsidRPr="0044358B">
        <w:rPr>
          <w:rFonts w:ascii="Times New Roman" w:eastAsia="Times New Roman" w:hAnsi="Times New Roman" w:cs="Times New Roman"/>
          <w:i/>
          <w:iCs/>
          <w:sz w:val="24"/>
          <w:szCs w:val="24"/>
        </w:rPr>
        <w:t>., Ltd</w:t>
      </w:r>
      <w:r w:rsidRPr="0044358B">
        <w:rPr>
          <w:rFonts w:ascii="Times New Roman" w:eastAsia="Times New Roman" w:hAnsi="Times New Roman" w:cs="Times New Roman"/>
          <w:sz w:val="24"/>
          <w:szCs w:val="24"/>
        </w:rPr>
        <w:t xml:space="preserve">., 551 U.S. 308, 313 (2007). For pleading purposes, a plaintiff must “state with particularity facts giving rise to a strong inference that the defendant acted with the required state of mind.” </w:t>
      </w:r>
      <w:r w:rsidRPr="0044358B">
        <w:rPr>
          <w:rFonts w:ascii="Times New Roman" w:eastAsia="Times New Roman" w:hAnsi="Times New Roman" w:cs="Times New Roman"/>
          <w:i/>
          <w:iCs/>
          <w:sz w:val="24"/>
          <w:szCs w:val="24"/>
        </w:rPr>
        <w:t>Id</w:t>
      </w:r>
      <w:r w:rsidRPr="0044358B">
        <w:rPr>
          <w:rFonts w:ascii="Times New Roman" w:eastAsia="Times New Roman" w:hAnsi="Times New Roman" w:cs="Times New Roman"/>
          <w:sz w:val="24"/>
          <w:szCs w:val="24"/>
        </w:rPr>
        <w:t xml:space="preserve">. at 314 (quoting 15 U.S.C. § 78u–4(b)(2)). In </w:t>
      </w:r>
      <w:r w:rsidRPr="0044358B">
        <w:rPr>
          <w:rFonts w:ascii="Times New Roman" w:eastAsia="Times New Roman" w:hAnsi="Times New Roman" w:cs="Times New Roman"/>
          <w:i/>
          <w:iCs/>
          <w:sz w:val="24"/>
          <w:szCs w:val="24"/>
        </w:rPr>
        <w:t>Webb v. SolarCity Corp</w:t>
      </w:r>
      <w:r w:rsidRPr="0044358B">
        <w:rPr>
          <w:rFonts w:ascii="Times New Roman" w:eastAsia="Times New Roman" w:hAnsi="Times New Roman" w:cs="Times New Roman"/>
          <w:sz w:val="24"/>
          <w:szCs w:val="24"/>
        </w:rPr>
        <w:t xml:space="preserve">., 884 F.3d 844, 851 (9th Cir. 2018), the Ninth Circuit explained that the scienter standard requires facts demonstrating an intent to deceive, manipulate or defraud, or “deliberate recklessness.” The court defined “deliberate recklessness” as “an extreme departure from the standards of ordinary care, which presents a danger of misleading buyers or sellers that is either known to the defendant or is so obvious that the actor must have been aware of it.” </w:t>
      </w:r>
      <w:r w:rsidRPr="0044358B">
        <w:rPr>
          <w:rFonts w:ascii="Times New Roman" w:eastAsia="Times New Roman" w:hAnsi="Times New Roman" w:cs="Times New Roman"/>
          <w:i/>
          <w:iCs/>
          <w:sz w:val="24"/>
          <w:szCs w:val="24"/>
        </w:rPr>
        <w:t>Id</w:t>
      </w:r>
      <w:r w:rsidRPr="0044358B">
        <w:rPr>
          <w:rFonts w:ascii="Times New Roman" w:eastAsia="Times New Roman" w:hAnsi="Times New Roman" w:cs="Times New Roman"/>
          <w:sz w:val="24"/>
          <w:szCs w:val="24"/>
        </w:rPr>
        <w:t xml:space="preserve">. (brackets, emphasis, and citation omitted); </w:t>
      </w:r>
      <w:r w:rsidRPr="0044358B">
        <w:rPr>
          <w:rFonts w:ascii="Times New Roman" w:eastAsia="Times New Roman" w:hAnsi="Times New Roman" w:cs="Times New Roman"/>
          <w:i/>
          <w:iCs/>
          <w:sz w:val="24"/>
          <w:szCs w:val="24"/>
        </w:rPr>
        <w:t xml:space="preserve">see also Glazer Cap. Mgmt. v. </w:t>
      </w:r>
      <w:proofErr w:type="spellStart"/>
      <w:r w:rsidRPr="0044358B">
        <w:rPr>
          <w:rFonts w:ascii="Times New Roman" w:eastAsia="Times New Roman" w:hAnsi="Times New Roman" w:cs="Times New Roman"/>
          <w:i/>
          <w:iCs/>
          <w:sz w:val="24"/>
          <w:szCs w:val="24"/>
        </w:rPr>
        <w:t>Forescout</w:t>
      </w:r>
      <w:proofErr w:type="spellEnd"/>
      <w:r w:rsidRPr="0044358B">
        <w:rPr>
          <w:rFonts w:ascii="Times New Roman" w:eastAsia="Times New Roman" w:hAnsi="Times New Roman" w:cs="Times New Roman"/>
          <w:i/>
          <w:iCs/>
          <w:sz w:val="24"/>
          <w:szCs w:val="24"/>
        </w:rPr>
        <w:t xml:space="preserve"> Techs., Inc.</w:t>
      </w:r>
      <w:r w:rsidRPr="0044358B">
        <w:rPr>
          <w:rFonts w:ascii="Times New Roman" w:eastAsia="Times New Roman" w:hAnsi="Times New Roman" w:cs="Times New Roman"/>
          <w:sz w:val="24"/>
          <w:szCs w:val="24"/>
        </w:rPr>
        <w:t xml:space="preserve">, 63 F.4th 747,765 (9th Cir. 2023) (stating that deliberate recklessness “is a higher standard than mere recklessness and requires more than a motive to commit fraud,” and “only satisfies scienter under § 10(b) to the extent that it reflects some degree of intentional or conscious misconduct” (citation omitted)). </w:t>
      </w:r>
      <w:r w:rsidRPr="0044358B">
        <w:rPr>
          <w:rFonts w:ascii="Times New Roman" w:eastAsia="Times New Roman" w:hAnsi="Times New Roman" w:cs="Times New Roman"/>
          <w:i/>
          <w:iCs/>
          <w:sz w:val="24"/>
          <w:szCs w:val="24"/>
        </w:rPr>
        <w:t>See also Espy v. J2 Global, Inc., </w:t>
      </w:r>
      <w:r w:rsidRPr="0044358B">
        <w:rPr>
          <w:rFonts w:ascii="Times New Roman" w:eastAsia="Times New Roman" w:hAnsi="Times New Roman" w:cs="Times New Roman"/>
          <w:sz w:val="24"/>
          <w:szCs w:val="24"/>
        </w:rPr>
        <w:t>99 F. 4th 527, 536-37 (9th Cir. 2024) (declining to hold that the complaint alleged facts giving rise to a strong inference of scienter where the “majority of [two witnesses’] statements fail to establish reliability or personal knowledge, or simply amount to criticisms of [the defendant’s] management practices and compensation structures,” and which, “even if . . . reliable,” were “simply negative opinions of [the defendant] . . . not statements which are themselves indicative of scienter”) (internal citations omitted)).</w:t>
      </w:r>
    </w:p>
    <w:p w14:paraId="2A4F4441" w14:textId="505A3818" w:rsidR="0044358B" w:rsidRPr="0044358B" w:rsidRDefault="0044358B" w:rsidP="0044358B">
      <w:pPr>
        <w:shd w:val="clear" w:color="auto" w:fill="FFFFFF"/>
        <w:ind w:firstLine="720"/>
        <w:rPr>
          <w:rFonts w:ascii="Times New Roman" w:hAnsi="Times New Roman" w:cs="Times New Roman"/>
          <w:sz w:val="24"/>
          <w:szCs w:val="24"/>
        </w:rPr>
      </w:pPr>
      <w:r w:rsidRPr="0044358B">
        <w:rPr>
          <w:rFonts w:ascii="Times New Roman" w:eastAsia="Times New Roman" w:hAnsi="Times New Roman" w:cs="Times New Roman"/>
          <w:sz w:val="24"/>
          <w:szCs w:val="24"/>
        </w:rPr>
        <w:t xml:space="preserve">The PSLRA entitles a defendant in any private action arising under Rule 10b-5 to require the court to submit a written interrogatory to the jury regarding each defendant’s state of mind at </w:t>
      </w:r>
      <w:r w:rsidRPr="0044358B">
        <w:rPr>
          <w:rFonts w:ascii="Times New Roman" w:eastAsia="Times New Roman" w:hAnsi="Times New Roman" w:cs="Times New Roman"/>
          <w:sz w:val="24"/>
          <w:szCs w:val="24"/>
        </w:rPr>
        <w:lastRenderedPageBreak/>
        <w:t xml:space="preserve">the time of the alleged violation of the securities laws. 15 U.S.C. § 78u-4(d). For a discussion of when a corporate officer’s scienter can be imputed to a corporation, particularly if that officer also defrauds the corporation, </w:t>
      </w:r>
      <w:r w:rsidRPr="0044358B">
        <w:rPr>
          <w:rFonts w:ascii="Times New Roman" w:eastAsia="Times New Roman" w:hAnsi="Times New Roman" w:cs="Times New Roman"/>
          <w:i/>
          <w:iCs/>
          <w:sz w:val="24"/>
          <w:szCs w:val="24"/>
        </w:rPr>
        <w:t xml:space="preserve">see In re </w:t>
      </w:r>
      <w:proofErr w:type="spellStart"/>
      <w:r w:rsidRPr="0044358B">
        <w:rPr>
          <w:rFonts w:ascii="Times New Roman" w:eastAsia="Times New Roman" w:hAnsi="Times New Roman" w:cs="Times New Roman"/>
          <w:i/>
          <w:iCs/>
          <w:sz w:val="24"/>
          <w:szCs w:val="24"/>
        </w:rPr>
        <w:t>ChinaCast</w:t>
      </w:r>
      <w:proofErr w:type="spellEnd"/>
      <w:r w:rsidRPr="0044358B">
        <w:rPr>
          <w:rFonts w:ascii="Times New Roman" w:eastAsia="Times New Roman" w:hAnsi="Times New Roman" w:cs="Times New Roman"/>
          <w:i/>
          <w:iCs/>
          <w:sz w:val="24"/>
          <w:szCs w:val="24"/>
        </w:rPr>
        <w:t xml:space="preserve"> Education Corp</w:t>
      </w:r>
      <w:r w:rsidRPr="0044358B">
        <w:rPr>
          <w:rFonts w:ascii="Times New Roman" w:eastAsia="Times New Roman" w:hAnsi="Times New Roman" w:cs="Times New Roman"/>
          <w:sz w:val="24"/>
          <w:szCs w:val="24"/>
        </w:rPr>
        <w:t>. </w:t>
      </w:r>
      <w:r w:rsidRPr="0044358B">
        <w:rPr>
          <w:rFonts w:ascii="Times New Roman" w:eastAsia="Times New Roman" w:hAnsi="Times New Roman" w:cs="Times New Roman"/>
          <w:i/>
          <w:iCs/>
          <w:sz w:val="24"/>
          <w:szCs w:val="24"/>
        </w:rPr>
        <w:t>Securities Litigation</w:t>
      </w:r>
      <w:r w:rsidRPr="0044358B">
        <w:rPr>
          <w:rFonts w:ascii="Times New Roman" w:eastAsia="Times New Roman" w:hAnsi="Times New Roman" w:cs="Times New Roman"/>
          <w:sz w:val="24"/>
          <w:szCs w:val="24"/>
        </w:rPr>
        <w:t>, 809 F.3d 471 (9th Cir. 2015).</w:t>
      </w:r>
    </w:p>
    <w:p w14:paraId="3DFA49F4" w14:textId="77777777" w:rsidR="0044358B" w:rsidRPr="0044358B" w:rsidRDefault="0044358B" w:rsidP="0044358B">
      <w:pPr>
        <w:numPr>
          <w:ilvl w:val="12"/>
          <w:numId w:val="0"/>
        </w:numPr>
        <w:autoSpaceDE w:val="0"/>
        <w:autoSpaceDN w:val="0"/>
        <w:adjustRightInd w:val="0"/>
        <w:jc w:val="right"/>
        <w:rPr>
          <w:rFonts w:ascii="Times New Roman" w:hAnsi="Times New Roman" w:cs="Times New Roman"/>
          <w:sz w:val="24"/>
          <w:szCs w:val="24"/>
        </w:rPr>
      </w:pPr>
      <w:r w:rsidRPr="0044358B">
        <w:rPr>
          <w:rFonts w:ascii="Times New Roman" w:hAnsi="Times New Roman" w:cs="Times New Roman"/>
          <w:i/>
          <w:iCs/>
          <w:sz w:val="24"/>
          <w:szCs w:val="24"/>
        </w:rPr>
        <w:t xml:space="preserve"> Revised June 2025</w:t>
      </w:r>
    </w:p>
    <w:p w14:paraId="453FA125" w14:textId="45F3F566" w:rsidR="00C30C2C" w:rsidRPr="00276FD3" w:rsidRDefault="00C30C2C" w:rsidP="0044358B">
      <w:pPr>
        <w:shd w:val="clear" w:color="auto" w:fill="FFFFFF"/>
        <w:spacing w:before="144" w:after="0" w:line="240" w:lineRule="auto"/>
        <w:rPr>
          <w:rFonts w:ascii="Times New Roman" w:hAnsi="Times New Roman" w:cs="Times New Roman"/>
          <w:sz w:val="24"/>
          <w:szCs w:val="24"/>
        </w:rPr>
      </w:pPr>
    </w:p>
    <w:sectPr w:rsidR="00C30C2C" w:rsidRPr="00276F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FD3"/>
    <w:rsid w:val="00047A74"/>
    <w:rsid w:val="001F1832"/>
    <w:rsid w:val="00235FFF"/>
    <w:rsid w:val="00276FD3"/>
    <w:rsid w:val="00277100"/>
    <w:rsid w:val="0044358B"/>
    <w:rsid w:val="004922F2"/>
    <w:rsid w:val="0062523E"/>
    <w:rsid w:val="00695F6A"/>
    <w:rsid w:val="006E771A"/>
    <w:rsid w:val="007411EE"/>
    <w:rsid w:val="009A6495"/>
    <w:rsid w:val="00BC67C9"/>
    <w:rsid w:val="00C30C2C"/>
    <w:rsid w:val="00C64593"/>
    <w:rsid w:val="00CD2A74"/>
    <w:rsid w:val="00D56588"/>
    <w:rsid w:val="00DB7C92"/>
    <w:rsid w:val="00EB3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1DE4B"/>
  <w15:chartTrackingRefBased/>
  <w15:docId w15:val="{A93CC5DF-81BB-4117-AC96-9E3BA3503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FD3"/>
    <w:pPr>
      <w:spacing w:after="160" w:line="259" w:lineRule="auto"/>
    </w:pPr>
    <w:rPr>
      <w:rFonts w:asciiTheme="minorHAnsi" w:hAnsiTheme="minorHAnsi" w:cstheme="minorBidi"/>
      <w:kern w:val="0"/>
      <w:sz w:val="22"/>
      <w:szCs w:val="22"/>
      <w14:ligatures w14:val="none"/>
    </w:rPr>
  </w:style>
  <w:style w:type="paragraph" w:styleId="Heading1">
    <w:name w:val="heading 1"/>
    <w:aliases w:val="Heading"/>
    <w:basedOn w:val="Normal"/>
    <w:next w:val="Normal"/>
    <w:link w:val="Heading1Char"/>
    <w:uiPriority w:val="9"/>
    <w:qFormat/>
    <w:rsid w:val="006E771A"/>
    <w:pPr>
      <w:keepNext/>
      <w:keepLines/>
      <w:spacing w:before="240" w:after="0"/>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6E771A"/>
    <w:rPr>
      <w:rFonts w:eastAsiaTheme="majorEastAsia" w:cstheme="majorBidi"/>
      <w:b/>
      <w:color w:val="000000" w:themeColor="text1"/>
      <w:sz w:val="28"/>
      <w:szCs w:val="32"/>
    </w:rPr>
  </w:style>
  <w:style w:type="paragraph" w:styleId="Revision">
    <w:name w:val="Revision"/>
    <w:hidden/>
    <w:uiPriority w:val="99"/>
    <w:semiHidden/>
    <w:rsid w:val="007411EE"/>
    <w:rPr>
      <w:rFonts w:asciiTheme="minorHAnsi" w:hAnsiTheme="minorHAnsi" w:cstheme="minorBid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552</Words>
  <Characters>3147</Characters>
  <Application>Microsoft Office Word</Application>
  <DocSecurity>0</DocSecurity>
  <Lines>26</Lines>
  <Paragraphs>7</Paragraphs>
  <ScaleCrop>false</ScaleCrop>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Samriddhi Rana</cp:lastModifiedBy>
  <cp:revision>8</cp:revision>
  <dcterms:created xsi:type="dcterms:W3CDTF">2024-10-30T18:25:00Z</dcterms:created>
  <dcterms:modified xsi:type="dcterms:W3CDTF">2025-10-14T22:52:00Z</dcterms:modified>
</cp:coreProperties>
</file>