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04D5" w14:textId="77777777" w:rsidR="007D591C" w:rsidRPr="00374DD7" w:rsidRDefault="007D591C" w:rsidP="007D591C">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49646609"/>
      <w:bookmarkStart w:id="1" w:name="_Toc175067676"/>
      <w:r w:rsidRPr="00374DD7">
        <w:rPr>
          <w:rFonts w:ascii="Times New Roman" w:hAnsi="Times New Roman" w:cs="Times New Roman"/>
          <w:b/>
          <w:bCs/>
          <w:sz w:val="24"/>
          <w:szCs w:val="24"/>
        </w:rPr>
        <w:t>18.6 Securities—Justifiable Reliance Generally</w:t>
      </w:r>
      <w:bookmarkEnd w:id="0"/>
      <w:bookmarkEnd w:id="1"/>
    </w:p>
    <w:p w14:paraId="4301631A"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2743C2E0" w14:textId="3A2C5CA1"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The plaintiff must prove by a preponderance of the evidence that [he] [she] [</w:t>
      </w:r>
      <w:r w:rsidRPr="00374DD7">
        <w:rPr>
          <w:rFonts w:ascii="Times New Roman" w:hAnsi="Times New Roman" w:cs="Times New Roman"/>
          <w:i/>
          <w:iCs/>
          <w:sz w:val="24"/>
          <w:szCs w:val="24"/>
        </w:rPr>
        <w:t>other pronoun</w:t>
      </w:r>
      <w:r w:rsidRPr="00374DD7">
        <w:rPr>
          <w:rFonts w:ascii="Times New Roman" w:hAnsi="Times New Roman" w:cs="Times New Roman"/>
          <w:sz w:val="24"/>
          <w:szCs w:val="24"/>
        </w:rPr>
        <w:t>] [it] justifiably relied on the alleged misrepresentation or omission in deciding to engage in the [purchase] [sale] of the [security] [securities] in question. The plaintiff may not intentionally close [his] [her] [</w:t>
      </w:r>
      <w:r w:rsidRPr="00374DD7">
        <w:rPr>
          <w:rFonts w:ascii="Times New Roman" w:hAnsi="Times New Roman" w:cs="Times New Roman"/>
          <w:i/>
          <w:iCs/>
          <w:sz w:val="24"/>
          <w:szCs w:val="24"/>
        </w:rPr>
        <w:t>other pronoun</w:t>
      </w:r>
      <w:r w:rsidRPr="00374DD7">
        <w:rPr>
          <w:rFonts w:ascii="Times New Roman" w:hAnsi="Times New Roman" w:cs="Times New Roman"/>
          <w:sz w:val="24"/>
          <w:szCs w:val="24"/>
        </w:rPr>
        <w:t>] [its] eyes and refuse to investigate the circumstances or disregard known or obvious risks.</w:t>
      </w:r>
    </w:p>
    <w:p w14:paraId="6D97CA76" w14:textId="77777777" w:rsidR="007D591C" w:rsidRPr="00374DD7" w:rsidRDefault="007D591C" w:rsidP="007D591C">
      <w:pPr>
        <w:spacing w:after="0" w:line="240" w:lineRule="auto"/>
        <w:rPr>
          <w:rFonts w:ascii="Times New Roman" w:hAnsi="Times New Roman" w:cs="Times New Roman"/>
          <w:sz w:val="24"/>
          <w:szCs w:val="24"/>
        </w:rPr>
      </w:pPr>
    </w:p>
    <w:p w14:paraId="733F0ED2" w14:textId="77777777" w:rsidR="007D591C" w:rsidRPr="00374DD7" w:rsidRDefault="007D591C" w:rsidP="007D591C">
      <w:pPr>
        <w:numPr>
          <w:ilvl w:val="12"/>
          <w:numId w:val="0"/>
        </w:numPr>
        <w:autoSpaceDE w:val="0"/>
        <w:autoSpaceDN w:val="0"/>
        <w:adjustRightInd w:val="0"/>
        <w:spacing w:after="0" w:line="240" w:lineRule="auto"/>
        <w:jc w:val="center"/>
        <w:rPr>
          <w:rFonts w:ascii="Times New Roman" w:hAnsi="Times New Roman" w:cs="Times New Roman"/>
          <w:sz w:val="24"/>
          <w:szCs w:val="24"/>
        </w:rPr>
      </w:pPr>
      <w:r w:rsidRPr="00374DD7">
        <w:rPr>
          <w:rFonts w:ascii="Times New Roman" w:hAnsi="Times New Roman" w:cs="Times New Roman"/>
          <w:b/>
          <w:bCs/>
          <w:sz w:val="24"/>
          <w:szCs w:val="24"/>
        </w:rPr>
        <w:t>Comment</w:t>
      </w:r>
    </w:p>
    <w:p w14:paraId="5528752A"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0C23B53C" w14:textId="52EA7038"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Use this instruction unless the plaintiff relies on a fraud-on-the-market theory, in which case Instruction 18.7 (Securities—Justifiable Reliance—Fraud-on-the-Market Case) should be used. Even in a fraud-on-the-market theory case, however, this instruction may become applicable if the jury finds that the defendant rebutted the presumption of reliance on the market.</w:t>
      </w:r>
    </w:p>
    <w:p w14:paraId="50EC84A1"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1CA8F96B" w14:textId="56658265"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The element of “reliance [is] often referred to in cases involving public securities markets . . . as transaction causation.</w:t>
      </w:r>
      <w:r w:rsidRPr="00374DD7">
        <w:rPr>
          <w:rFonts w:ascii="Times New Roman" w:hAnsi="Times New Roman" w:cs="Times New Roman"/>
          <w:i/>
          <w:iCs/>
          <w:sz w:val="24"/>
          <w:szCs w:val="24"/>
        </w:rPr>
        <w:t>” Dura Pharms., Inc. v. Broudo</w:t>
      </w:r>
      <w:r w:rsidRPr="00374DD7">
        <w:rPr>
          <w:rFonts w:ascii="Times New Roman" w:hAnsi="Times New Roman" w:cs="Times New Roman"/>
          <w:sz w:val="24"/>
          <w:szCs w:val="24"/>
        </w:rPr>
        <w:t>, 544 U.S. 336, 341 (2005).</w:t>
      </w:r>
    </w:p>
    <w:p w14:paraId="19754B0D"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43CCE8A5" w14:textId="0F483602"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In </w:t>
      </w:r>
      <w:r w:rsidRPr="00374DD7">
        <w:rPr>
          <w:rFonts w:ascii="Times New Roman" w:hAnsi="Times New Roman" w:cs="Times New Roman"/>
          <w:i/>
          <w:iCs/>
          <w:sz w:val="24"/>
          <w:szCs w:val="24"/>
        </w:rPr>
        <w:t>Atari Corp. v. Ernst &amp; Whinney</w:t>
      </w:r>
      <w:r w:rsidRPr="00374DD7">
        <w:rPr>
          <w:rFonts w:ascii="Times New Roman" w:hAnsi="Times New Roman" w:cs="Times New Roman"/>
          <w:sz w:val="24"/>
          <w:szCs w:val="24"/>
        </w:rPr>
        <w:t xml:space="preserve">, 981 F.2d 1025, 1030 (9th Cir. 1992), the court held that an investor cannot claim reliance on a misrepresentation if the investor already possessed information sufficient to call the representation into question. </w:t>
      </w:r>
    </w:p>
    <w:p w14:paraId="2705E141"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279F2FE4" w14:textId="658F344D"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A rebuttable presumption of reliance is deemed to arise when the fraud involves a material omission. </w:t>
      </w:r>
      <w:r w:rsidRPr="00374DD7">
        <w:rPr>
          <w:rFonts w:ascii="Times New Roman" w:hAnsi="Times New Roman" w:cs="Times New Roman"/>
          <w:i/>
          <w:iCs/>
          <w:sz w:val="24"/>
          <w:szCs w:val="24"/>
        </w:rPr>
        <w:t>Affiliated Ute Citizens v. United States</w:t>
      </w:r>
      <w:r w:rsidRPr="00374DD7">
        <w:rPr>
          <w:rFonts w:ascii="Times New Roman" w:hAnsi="Times New Roman" w:cs="Times New Roman"/>
          <w:sz w:val="24"/>
          <w:szCs w:val="24"/>
        </w:rPr>
        <w:t xml:space="preserve">, 406 U.S. 128, 153-54 (1972). In a “mixed case of misstatements and omissions,” the presumption will only apply if the case primarily alleges omissions. </w:t>
      </w:r>
      <w:r w:rsidRPr="00374DD7">
        <w:rPr>
          <w:rFonts w:ascii="Times New Roman" w:hAnsi="Times New Roman" w:cs="Times New Roman"/>
          <w:i/>
          <w:iCs/>
          <w:sz w:val="24"/>
          <w:szCs w:val="24"/>
        </w:rPr>
        <w:t>Binder v. Gillespie</w:t>
      </w:r>
      <w:r w:rsidRPr="00374DD7">
        <w:rPr>
          <w:rFonts w:ascii="Times New Roman" w:hAnsi="Times New Roman" w:cs="Times New Roman"/>
          <w:sz w:val="24"/>
          <w:szCs w:val="24"/>
        </w:rPr>
        <w:t>, 184 F.3d 1059, 1063-64 (9th Cir. 1999) (involving a case resolved on summary judgment). At trial, the court may resolve whether the presumption is applicable after considering the evidence.</w:t>
      </w:r>
    </w:p>
    <w:p w14:paraId="20FCF6ED"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2399A54F" w14:textId="41D65EBD"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To provide guidance to jurors required to determine whether the plaintiff’s reliance was justifiable, the judge may consider adding the following to this instruction:</w:t>
      </w:r>
    </w:p>
    <w:p w14:paraId="58679EEA"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1A486155"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In deciding whether a plaintiff justifiably relied on the defendant’s alleged misrepresentation[s] or omission[s,] you may consider evidence of:</w:t>
      </w:r>
    </w:p>
    <w:p w14:paraId="65CACA0D" w14:textId="77777777" w:rsidR="007D591C" w:rsidRPr="00374DD7" w:rsidRDefault="007D591C" w:rsidP="007D591C">
      <w:pPr>
        <w:numPr>
          <w:ilvl w:val="12"/>
          <w:numId w:val="0"/>
        </w:numPr>
        <w:autoSpaceDE w:val="0"/>
        <w:autoSpaceDN w:val="0"/>
        <w:adjustRightInd w:val="0"/>
        <w:spacing w:after="0" w:line="240" w:lineRule="auto"/>
        <w:ind w:left="1440" w:right="1440" w:hanging="720"/>
        <w:rPr>
          <w:rFonts w:ascii="Times New Roman" w:hAnsi="Times New Roman" w:cs="Times New Roman"/>
          <w:sz w:val="24"/>
          <w:szCs w:val="24"/>
        </w:rPr>
      </w:pPr>
    </w:p>
    <w:p w14:paraId="2FB63C33"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1.</w:t>
      </w:r>
      <w:r w:rsidRPr="00374DD7">
        <w:rPr>
          <w:rFonts w:ascii="Times New Roman" w:hAnsi="Times New Roman" w:cs="Times New Roman"/>
          <w:sz w:val="24"/>
          <w:szCs w:val="24"/>
        </w:rPr>
        <w:tab/>
        <w:t>whether the plaintiff was sophisticated and experienced in financial and securities matters;</w:t>
      </w:r>
    </w:p>
    <w:p w14:paraId="7D304472" w14:textId="77777777" w:rsidR="007D591C" w:rsidRPr="00374DD7" w:rsidRDefault="007D591C" w:rsidP="007D591C">
      <w:pPr>
        <w:numPr>
          <w:ilvl w:val="12"/>
          <w:numId w:val="0"/>
        </w:numPr>
        <w:autoSpaceDE w:val="0"/>
        <w:autoSpaceDN w:val="0"/>
        <w:adjustRightInd w:val="0"/>
        <w:spacing w:after="0" w:line="240" w:lineRule="auto"/>
        <w:ind w:left="1440" w:right="1440" w:hanging="720"/>
        <w:rPr>
          <w:rFonts w:ascii="Times New Roman" w:hAnsi="Times New Roman" w:cs="Times New Roman"/>
          <w:sz w:val="24"/>
          <w:szCs w:val="24"/>
        </w:rPr>
      </w:pPr>
    </w:p>
    <w:p w14:paraId="3FBEB40A"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2.</w:t>
      </w:r>
      <w:r w:rsidRPr="00374DD7">
        <w:rPr>
          <w:rFonts w:ascii="Times New Roman" w:hAnsi="Times New Roman" w:cs="Times New Roman"/>
          <w:sz w:val="24"/>
          <w:szCs w:val="24"/>
        </w:rPr>
        <w:tab/>
        <w:t>whether the plaintiff and the defendant had a long-standing business or personal relationship, or a relationship in which the defendant owed a duty to the plaintiff to not interfere with or adversely affect the plaintiff’s interests;</w:t>
      </w:r>
    </w:p>
    <w:p w14:paraId="120DA965" w14:textId="77777777" w:rsidR="007D591C" w:rsidRPr="00374DD7" w:rsidRDefault="007D591C" w:rsidP="007D591C">
      <w:pPr>
        <w:numPr>
          <w:ilvl w:val="12"/>
          <w:numId w:val="0"/>
        </w:numPr>
        <w:autoSpaceDE w:val="0"/>
        <w:autoSpaceDN w:val="0"/>
        <w:adjustRightInd w:val="0"/>
        <w:spacing w:after="0" w:line="240" w:lineRule="auto"/>
        <w:ind w:left="1440" w:right="1440" w:hanging="720"/>
        <w:rPr>
          <w:rFonts w:ascii="Times New Roman" w:hAnsi="Times New Roman" w:cs="Times New Roman"/>
          <w:sz w:val="24"/>
          <w:szCs w:val="24"/>
        </w:rPr>
      </w:pPr>
    </w:p>
    <w:p w14:paraId="31283F4A" w14:textId="57FD60A9"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3.</w:t>
      </w:r>
      <w:r w:rsidRPr="00374DD7">
        <w:rPr>
          <w:rFonts w:ascii="Times New Roman" w:hAnsi="Times New Roman" w:cs="Times New Roman"/>
          <w:sz w:val="24"/>
          <w:szCs w:val="24"/>
        </w:rPr>
        <w:tab/>
        <w:t>whether the plaintiff ignored or refused to investigate the circumstances surrounding the transaction;</w:t>
      </w:r>
    </w:p>
    <w:p w14:paraId="7010CB2D"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p>
    <w:p w14:paraId="38063698" w14:textId="601D432B"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lastRenderedPageBreak/>
        <w:t>4.</w:t>
      </w:r>
      <w:r w:rsidRPr="00374DD7">
        <w:rPr>
          <w:rFonts w:ascii="Times New Roman" w:hAnsi="Times New Roman" w:cs="Times New Roman"/>
          <w:sz w:val="24"/>
          <w:szCs w:val="24"/>
        </w:rPr>
        <w:tab/>
        <w:t>whether the plaintiff disregarded risks so obvious that they should have been known or risks so great as to make it highly probable that harm would follow;</w:t>
      </w:r>
    </w:p>
    <w:p w14:paraId="61692F19"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p>
    <w:p w14:paraId="1B40AFAC"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5.</w:t>
      </w:r>
      <w:r w:rsidRPr="00374DD7">
        <w:rPr>
          <w:rFonts w:ascii="Times New Roman" w:hAnsi="Times New Roman" w:cs="Times New Roman"/>
          <w:sz w:val="24"/>
          <w:szCs w:val="24"/>
        </w:rPr>
        <w:tab/>
        <w:t>whether the defendant concealed the fraud;</w:t>
      </w:r>
    </w:p>
    <w:p w14:paraId="1BA007F1"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p>
    <w:p w14:paraId="655D73B4"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6.</w:t>
      </w:r>
      <w:r w:rsidRPr="00374DD7">
        <w:rPr>
          <w:rFonts w:ascii="Times New Roman" w:hAnsi="Times New Roman" w:cs="Times New Roman"/>
          <w:sz w:val="24"/>
          <w:szCs w:val="24"/>
        </w:rPr>
        <w:tab/>
        <w:t>whether the plaintiff had access to the relevant material information;</w:t>
      </w:r>
    </w:p>
    <w:p w14:paraId="4D2CA159"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p>
    <w:p w14:paraId="4436AED2"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7.</w:t>
      </w:r>
      <w:r w:rsidRPr="00374DD7">
        <w:rPr>
          <w:rFonts w:ascii="Times New Roman" w:hAnsi="Times New Roman" w:cs="Times New Roman"/>
          <w:sz w:val="24"/>
          <w:szCs w:val="24"/>
        </w:rPr>
        <w:tab/>
        <w:t>whether the misrepresentation was general or specific;</w:t>
      </w:r>
    </w:p>
    <w:p w14:paraId="00DD7FD1"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p>
    <w:p w14:paraId="4C7D1A04"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8.</w:t>
      </w:r>
      <w:r w:rsidRPr="00374DD7">
        <w:rPr>
          <w:rFonts w:ascii="Times New Roman" w:hAnsi="Times New Roman" w:cs="Times New Roman"/>
          <w:sz w:val="24"/>
          <w:szCs w:val="24"/>
        </w:rPr>
        <w:tab/>
        <w:t>whether the plaintiff initiated or sought to expedite the transaction;</w:t>
      </w:r>
    </w:p>
    <w:p w14:paraId="765BE1EB"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p>
    <w:p w14:paraId="3DF6F134"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9.</w:t>
      </w:r>
      <w:r w:rsidRPr="00374DD7">
        <w:rPr>
          <w:rFonts w:ascii="Times New Roman" w:hAnsi="Times New Roman" w:cs="Times New Roman"/>
          <w:sz w:val="24"/>
          <w:szCs w:val="24"/>
        </w:rPr>
        <w:tab/>
        <w:t>whether the defendant prepared or provided to the plaintiff materials that contained adequate warnings about the risks associated with the investment or adequate disclaimers describing limitations on the scope of the defendant’s representations or the defendant’s involvement; and</w:t>
      </w:r>
    </w:p>
    <w:p w14:paraId="4590230B"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p>
    <w:p w14:paraId="459D3DF4" w14:textId="77777777" w:rsidR="007D591C" w:rsidRPr="00374DD7" w:rsidRDefault="007D591C" w:rsidP="007D591C">
      <w:pPr>
        <w:numPr>
          <w:ilvl w:val="12"/>
          <w:numId w:val="0"/>
        </w:numPr>
        <w:autoSpaceDE w:val="0"/>
        <w:autoSpaceDN w:val="0"/>
        <w:adjustRightInd w:val="0"/>
        <w:spacing w:after="0" w:line="240" w:lineRule="auto"/>
        <w:ind w:left="1440" w:right="720" w:hanging="720"/>
        <w:rPr>
          <w:rFonts w:ascii="Times New Roman" w:hAnsi="Times New Roman" w:cs="Times New Roman"/>
          <w:sz w:val="24"/>
          <w:szCs w:val="24"/>
        </w:rPr>
      </w:pPr>
      <w:r w:rsidRPr="00374DD7">
        <w:rPr>
          <w:rFonts w:ascii="Times New Roman" w:hAnsi="Times New Roman" w:cs="Times New Roman"/>
          <w:sz w:val="24"/>
          <w:szCs w:val="24"/>
        </w:rPr>
        <w:t>10.</w:t>
      </w:r>
      <w:r w:rsidRPr="00374DD7">
        <w:rPr>
          <w:rFonts w:ascii="Times New Roman" w:hAnsi="Times New Roman" w:cs="Times New Roman"/>
          <w:sz w:val="24"/>
          <w:szCs w:val="24"/>
        </w:rPr>
        <w:tab/>
        <w:t>any other evidence you find helpful in deciding whether the plaintiff justifiably relied on the defendant’s misrepresentation[s] or omission[s].</w:t>
      </w:r>
    </w:p>
    <w:p w14:paraId="3C5E9521"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138BE483" w14:textId="5DA6A89A" w:rsidR="007D591C" w:rsidRPr="00374DD7" w:rsidRDefault="007D591C" w:rsidP="007D591C">
      <w:pPr>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For out-of-circuit cases listing these factors, </w:t>
      </w:r>
      <w:r w:rsidRPr="00374DD7">
        <w:rPr>
          <w:rFonts w:ascii="Times New Roman" w:hAnsi="Times New Roman" w:cs="Times New Roman"/>
          <w:i/>
          <w:iCs/>
          <w:sz w:val="24"/>
          <w:szCs w:val="24"/>
        </w:rPr>
        <w:t>see, e.g.</w:t>
      </w:r>
      <w:r w:rsidRPr="00374DD7">
        <w:rPr>
          <w:rFonts w:ascii="Times New Roman" w:hAnsi="Times New Roman" w:cs="Times New Roman"/>
          <w:sz w:val="24"/>
          <w:szCs w:val="24"/>
        </w:rPr>
        <w:t xml:space="preserve">, </w:t>
      </w:r>
      <w:r w:rsidRPr="00374DD7">
        <w:rPr>
          <w:rFonts w:ascii="Times New Roman" w:hAnsi="Times New Roman" w:cs="Times New Roman"/>
          <w:i/>
          <w:iCs/>
          <w:sz w:val="24"/>
          <w:szCs w:val="24"/>
        </w:rPr>
        <w:t>Brown v. E.F. Hutton Grp., Inc.</w:t>
      </w:r>
      <w:r w:rsidRPr="00374DD7">
        <w:rPr>
          <w:rFonts w:ascii="Times New Roman" w:hAnsi="Times New Roman" w:cs="Times New Roman"/>
          <w:sz w:val="24"/>
          <w:szCs w:val="24"/>
        </w:rPr>
        <w:t>, 991 F.2d 1020, 1032 (2d Cir. 1993);</w:t>
      </w:r>
      <w:r w:rsidRPr="00374DD7">
        <w:rPr>
          <w:rFonts w:ascii="Times New Roman" w:hAnsi="Times New Roman" w:cs="Times New Roman"/>
          <w:i/>
          <w:iCs/>
          <w:sz w:val="24"/>
          <w:szCs w:val="24"/>
        </w:rPr>
        <w:t xml:space="preserve"> Davidson v. Wilson</w:t>
      </w:r>
      <w:r w:rsidRPr="00374DD7">
        <w:rPr>
          <w:rFonts w:ascii="Times New Roman" w:hAnsi="Times New Roman" w:cs="Times New Roman"/>
          <w:sz w:val="24"/>
          <w:szCs w:val="24"/>
        </w:rPr>
        <w:t xml:space="preserve">, 973 F.2d 1391, 1400 (8th Cir. 1992); </w:t>
      </w:r>
      <w:r w:rsidRPr="00374DD7">
        <w:rPr>
          <w:rFonts w:ascii="Times New Roman" w:hAnsi="Times New Roman" w:cs="Times New Roman"/>
          <w:i/>
          <w:iCs/>
          <w:sz w:val="24"/>
          <w:szCs w:val="24"/>
        </w:rPr>
        <w:t>Myers v. Finkle</w:t>
      </w:r>
      <w:r w:rsidRPr="00374DD7">
        <w:rPr>
          <w:rFonts w:ascii="Times New Roman" w:hAnsi="Times New Roman" w:cs="Times New Roman"/>
          <w:sz w:val="24"/>
          <w:szCs w:val="24"/>
        </w:rPr>
        <w:t>, 950 F.2d 165, 167 (4th Cir. 1991);</w:t>
      </w:r>
      <w:r w:rsidRPr="00374DD7">
        <w:rPr>
          <w:rFonts w:ascii="Times New Roman" w:hAnsi="Times New Roman" w:cs="Times New Roman"/>
          <w:i/>
          <w:iCs/>
          <w:sz w:val="24"/>
          <w:szCs w:val="24"/>
        </w:rPr>
        <w:t xml:space="preserve"> Jackvony v. RIHT Fin. Corp.</w:t>
      </w:r>
      <w:r w:rsidRPr="00374DD7">
        <w:rPr>
          <w:rFonts w:ascii="Times New Roman" w:hAnsi="Times New Roman" w:cs="Times New Roman"/>
          <w:sz w:val="24"/>
          <w:szCs w:val="24"/>
        </w:rPr>
        <w:t xml:space="preserve">, 873 F.2d 411, 416 (1st Cir. 1989); </w:t>
      </w:r>
      <w:r w:rsidRPr="00374DD7">
        <w:rPr>
          <w:rFonts w:ascii="Times New Roman" w:hAnsi="Times New Roman" w:cs="Times New Roman"/>
          <w:i/>
          <w:iCs/>
          <w:sz w:val="24"/>
          <w:szCs w:val="24"/>
        </w:rPr>
        <w:t>Bruschi v. Brown</w:t>
      </w:r>
      <w:r w:rsidRPr="00374DD7">
        <w:rPr>
          <w:rFonts w:ascii="Times New Roman" w:hAnsi="Times New Roman" w:cs="Times New Roman"/>
          <w:sz w:val="24"/>
          <w:szCs w:val="24"/>
        </w:rPr>
        <w:t xml:space="preserve">, 876 F.2d 1526, 1529 (11th Cir. 1989); </w:t>
      </w:r>
      <w:r w:rsidRPr="00374DD7">
        <w:rPr>
          <w:rFonts w:ascii="Times New Roman" w:hAnsi="Times New Roman" w:cs="Times New Roman"/>
          <w:i/>
          <w:iCs/>
          <w:sz w:val="24"/>
          <w:szCs w:val="24"/>
        </w:rPr>
        <w:t>Zobrist v. Coal-X, Inc.</w:t>
      </w:r>
      <w:r w:rsidRPr="00374DD7">
        <w:rPr>
          <w:rFonts w:ascii="Times New Roman" w:hAnsi="Times New Roman" w:cs="Times New Roman"/>
          <w:sz w:val="24"/>
          <w:szCs w:val="24"/>
        </w:rPr>
        <w:t>, 708 F.2d 1511, 1518-19 (10th Cir. 1983).</w:t>
      </w:r>
    </w:p>
    <w:p w14:paraId="78CA410A" w14:textId="77777777"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p>
    <w:p w14:paraId="022E1978" w14:textId="110C5270" w:rsidR="007D591C" w:rsidRPr="00374DD7" w:rsidRDefault="007D591C" w:rsidP="007D591C">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To establish that a defendant adequately warned the plaintiff of the attendant risks in a transaction, the defendant’s disclosures must have been precise and relate directly to what the plaintiff alleges was misleading. </w:t>
      </w:r>
      <w:r w:rsidRPr="00374DD7">
        <w:rPr>
          <w:rFonts w:ascii="Times New Roman" w:hAnsi="Times New Roman" w:cs="Times New Roman"/>
          <w:i/>
          <w:iCs/>
          <w:sz w:val="24"/>
          <w:szCs w:val="24"/>
        </w:rPr>
        <w:t>See In re Worlds of Wonder Sec. Litig.</w:t>
      </w:r>
      <w:r w:rsidRPr="00374DD7">
        <w:rPr>
          <w:rFonts w:ascii="Times New Roman" w:hAnsi="Times New Roman" w:cs="Times New Roman"/>
          <w:sz w:val="24"/>
          <w:szCs w:val="24"/>
        </w:rPr>
        <w:t>, 35 F.3d 1407, 1414-15 (9th Cir. 1994).</w:t>
      </w:r>
    </w:p>
    <w:p w14:paraId="010FCCF9" w14:textId="19323FC7" w:rsidR="00C30C2C" w:rsidRPr="007D591C" w:rsidRDefault="007D591C" w:rsidP="007D591C">
      <w:pPr>
        <w:numPr>
          <w:ilvl w:val="12"/>
          <w:numId w:val="0"/>
        </w:num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Revised September 2024</w:t>
      </w:r>
    </w:p>
    <w:sectPr w:rsidR="00C30C2C" w:rsidRPr="007D5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1C"/>
    <w:rsid w:val="001F1832"/>
    <w:rsid w:val="00235FFF"/>
    <w:rsid w:val="002A79ED"/>
    <w:rsid w:val="00695F6A"/>
    <w:rsid w:val="006E771A"/>
    <w:rsid w:val="007D591C"/>
    <w:rsid w:val="00A17FCC"/>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29F4"/>
  <w15:chartTrackingRefBased/>
  <w15:docId w15:val="{04BD1B55-5B8E-4F21-A22A-E878EDD6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1C"/>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2024-10-30T18:26:00Z</dcterms:created>
  <dcterms:modified xsi:type="dcterms:W3CDTF">2024-11-19T15:56:00Z</dcterms:modified>
</cp:coreProperties>
</file>