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04D5" w14:textId="77777777" w:rsidR="007D591C" w:rsidRPr="00374DD7" w:rsidRDefault="007D591C" w:rsidP="007D59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49646609"/>
      <w:bookmarkStart w:id="1" w:name="_Toc175067676"/>
      <w:r w:rsidRPr="00374DD7">
        <w:rPr>
          <w:rFonts w:ascii="Times New Roman" w:hAnsi="Times New Roman" w:cs="Times New Roman"/>
          <w:b/>
          <w:bCs/>
          <w:sz w:val="24"/>
          <w:szCs w:val="24"/>
        </w:rPr>
        <w:t>18.6 Securities—Justifiable Reliance Generally</w:t>
      </w:r>
      <w:bookmarkEnd w:id="0"/>
      <w:bookmarkEnd w:id="1"/>
    </w:p>
    <w:p w14:paraId="4301631A" w14:textId="77777777" w:rsidR="007D591C" w:rsidRPr="00374DD7" w:rsidRDefault="007D591C" w:rsidP="007D591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020AB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ab/>
        <w:t>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must prove by a preponderance of the evidence that [he] [she]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other pronoun</w:t>
      </w:r>
      <w:r w:rsidRPr="00C3371B">
        <w:rPr>
          <w:rFonts w:ascii="Times New Roman" w:hAnsi="Times New Roman" w:cs="Times New Roman"/>
          <w:sz w:val="24"/>
          <w:szCs w:val="24"/>
        </w:rPr>
        <w:t>] justifiably relied on the alleged misrepresentation or omission in deciding to engage in the [purchase] [sale] of the [security] [securities] in question.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may not intentionally close [his] [her]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other pronoun</w:t>
      </w:r>
      <w:r w:rsidRPr="00C3371B">
        <w:rPr>
          <w:rFonts w:ascii="Times New Roman" w:hAnsi="Times New Roman" w:cs="Times New Roman"/>
          <w:sz w:val="24"/>
          <w:szCs w:val="24"/>
        </w:rPr>
        <w:t>] eyes and refuse to investigate the circumstances or disregard known or obvious risks.</w:t>
      </w:r>
    </w:p>
    <w:p w14:paraId="15F23623" w14:textId="77777777" w:rsidR="00C3371B" w:rsidRPr="00C3371B" w:rsidRDefault="00C3371B" w:rsidP="00C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3AA6B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b/>
          <w:bCs/>
          <w:sz w:val="24"/>
          <w:szCs w:val="24"/>
        </w:rPr>
        <w:t>Comment</w:t>
      </w:r>
    </w:p>
    <w:p w14:paraId="757D8C35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8B614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ab/>
        <w:t>Use this instruction unless the plaintiff relies on a fraud-on-the-market theory, in which case Instruction 18.7 (Securities—Justifiable Reliance—Fraud-on-the-Market Case) should be used. Even in a fraud-on-the-market theory case, however, this instruction may become applicable if the jury finds that the defendant rebutted the presumption of reliance on the market.</w:t>
      </w:r>
    </w:p>
    <w:p w14:paraId="6DEDFB99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A10CB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ab/>
        <w:t>The element of “reliance [is] often referred to in cases involving public securities markets . . . as transaction causation.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>” Dura Pharms., Inc. v. Broudo</w:t>
      </w:r>
      <w:r w:rsidRPr="00C3371B">
        <w:rPr>
          <w:rFonts w:ascii="Times New Roman" w:hAnsi="Times New Roman" w:cs="Times New Roman"/>
          <w:sz w:val="24"/>
          <w:szCs w:val="24"/>
        </w:rPr>
        <w:t>, 544 U.S. 336, 341 (2005).</w:t>
      </w:r>
    </w:p>
    <w:p w14:paraId="11C33176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D3D0F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ab/>
        <w:t xml:space="preserve">In 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>Atari Corp. v. Ernst &amp; Whinney</w:t>
      </w:r>
      <w:r w:rsidRPr="00C3371B">
        <w:rPr>
          <w:rFonts w:ascii="Times New Roman" w:hAnsi="Times New Roman" w:cs="Times New Roman"/>
          <w:sz w:val="24"/>
          <w:szCs w:val="24"/>
        </w:rPr>
        <w:t xml:space="preserve">, 981 F.2d 1025, 1030 (9th Cir. 1992), the court held that an investor cannot claim reliance on a misrepresentation if the investor already possessed information sufficient to call the representation into question. </w:t>
      </w:r>
    </w:p>
    <w:p w14:paraId="162C1CFA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062F6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ab/>
        <w:t xml:space="preserve">A rebuttable presumption of reliance is deemed to arise when the fraud involves a material omission. 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>Affiliated Ute Citizens v. United States</w:t>
      </w:r>
      <w:r w:rsidRPr="00C3371B">
        <w:rPr>
          <w:rFonts w:ascii="Times New Roman" w:hAnsi="Times New Roman" w:cs="Times New Roman"/>
          <w:sz w:val="24"/>
          <w:szCs w:val="24"/>
        </w:rPr>
        <w:t xml:space="preserve">, 406 U.S. 128, 153-54 (1972). In a “mixed case of misstatements and omissions,” the presumption will only apply if the case primarily alleges omissions. 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>Binder v. Gillespie</w:t>
      </w:r>
      <w:r w:rsidRPr="00C3371B">
        <w:rPr>
          <w:rFonts w:ascii="Times New Roman" w:hAnsi="Times New Roman" w:cs="Times New Roman"/>
          <w:sz w:val="24"/>
          <w:szCs w:val="24"/>
        </w:rPr>
        <w:t>, 184 F.3d 1059, 1063-64 (9th Cir. 1999) (involving a case resolved on summary judgment). At trial, the court may resolve whether the presumption is applicable after considering the evidence.</w:t>
      </w:r>
    </w:p>
    <w:p w14:paraId="4DC13D6D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E5212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ab/>
        <w:t>To provide guidance to jurors required to determine whether the plaintiff’s reliance was justifiable, the judge may consider adding the following to this instruction:</w:t>
      </w:r>
    </w:p>
    <w:p w14:paraId="027F3D5B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1841A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ab/>
        <w:t>In deciding whether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justifiably relied on the defendant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]’s alleged misrepresentation[s] or omission[s,] you may consider evidence of:</w:t>
      </w:r>
    </w:p>
    <w:p w14:paraId="4615D48E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 w:right="1440" w:hanging="720"/>
        <w:rPr>
          <w:rFonts w:ascii="Times New Roman" w:hAnsi="Times New Roman" w:cs="Times New Roman"/>
          <w:sz w:val="24"/>
          <w:szCs w:val="24"/>
        </w:rPr>
      </w:pPr>
    </w:p>
    <w:p w14:paraId="4E8826C6" w14:textId="77777777" w:rsidR="00C3371B" w:rsidRPr="00C3371B" w:rsidRDefault="00C3371B" w:rsidP="00C337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right="72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>whether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was sophisticated and experienced in financial and securities matters;</w:t>
      </w:r>
    </w:p>
    <w:p w14:paraId="584455F1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1440" w:hanging="540"/>
        <w:rPr>
          <w:rFonts w:ascii="Times New Roman" w:hAnsi="Times New Roman" w:cs="Times New Roman"/>
          <w:sz w:val="24"/>
          <w:szCs w:val="24"/>
        </w:rPr>
      </w:pPr>
    </w:p>
    <w:p w14:paraId="50A1DA7D" w14:textId="77777777" w:rsidR="00C3371B" w:rsidRPr="00C3371B" w:rsidRDefault="00C3371B" w:rsidP="00C337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right="72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>whether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and the defendant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had a long-standing business or personal relationship, or a relationship in which the defendant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owed a duty to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to not interfere with or adversely affect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]’s interests;</w:t>
      </w:r>
    </w:p>
    <w:p w14:paraId="6C47C260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1440" w:hanging="540"/>
        <w:rPr>
          <w:rFonts w:ascii="Times New Roman" w:hAnsi="Times New Roman" w:cs="Times New Roman"/>
          <w:sz w:val="24"/>
          <w:szCs w:val="24"/>
        </w:rPr>
      </w:pPr>
    </w:p>
    <w:p w14:paraId="17F8DC55" w14:textId="77777777" w:rsidR="00C3371B" w:rsidRPr="00C3371B" w:rsidRDefault="00C3371B" w:rsidP="00C337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60" w:right="72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>whether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ignored or refused to investigate the circumstances surrounding the transaction;</w:t>
      </w:r>
    </w:p>
    <w:p w14:paraId="41295B4E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</w:p>
    <w:p w14:paraId="6AA0A28A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lastRenderedPageBreak/>
        <w:t>(4)</w:t>
      </w:r>
      <w:r w:rsidRPr="00C3371B">
        <w:rPr>
          <w:rFonts w:ascii="Times New Roman" w:hAnsi="Times New Roman" w:cs="Times New Roman"/>
          <w:sz w:val="24"/>
          <w:szCs w:val="24"/>
        </w:rPr>
        <w:tab/>
        <w:t>whether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disregarded risks so obvious that they should have been known or risks so great as to make it highly probable that harm would follow;</w:t>
      </w:r>
    </w:p>
    <w:p w14:paraId="2F8874DB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</w:p>
    <w:p w14:paraId="20F7BE8A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>(5)</w:t>
      </w:r>
      <w:r w:rsidRPr="00C3371B">
        <w:rPr>
          <w:rFonts w:ascii="Times New Roman" w:hAnsi="Times New Roman" w:cs="Times New Roman"/>
          <w:sz w:val="24"/>
          <w:szCs w:val="24"/>
        </w:rPr>
        <w:tab/>
        <w:t>whether the defendant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concealed the fraud;</w:t>
      </w:r>
    </w:p>
    <w:p w14:paraId="5B558AD3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</w:p>
    <w:p w14:paraId="7BBBA08F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>(6)</w:t>
      </w:r>
      <w:r w:rsidRPr="00C3371B">
        <w:rPr>
          <w:rFonts w:ascii="Times New Roman" w:hAnsi="Times New Roman" w:cs="Times New Roman"/>
          <w:sz w:val="24"/>
          <w:szCs w:val="24"/>
        </w:rPr>
        <w:tab/>
        <w:t>whether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had access to the relevant material information;</w:t>
      </w:r>
    </w:p>
    <w:p w14:paraId="680B7AF8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</w:p>
    <w:p w14:paraId="1B796106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>(7)</w:t>
      </w:r>
      <w:r w:rsidRPr="00C3371B">
        <w:rPr>
          <w:rFonts w:ascii="Times New Roman" w:hAnsi="Times New Roman" w:cs="Times New Roman"/>
          <w:sz w:val="24"/>
          <w:szCs w:val="24"/>
        </w:rPr>
        <w:tab/>
        <w:t>whether the misrepresentation was general or specific;</w:t>
      </w:r>
    </w:p>
    <w:p w14:paraId="1A8BF05C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</w:p>
    <w:p w14:paraId="0590B059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>(8)</w:t>
      </w:r>
      <w:r w:rsidRPr="00C3371B">
        <w:rPr>
          <w:rFonts w:ascii="Times New Roman" w:hAnsi="Times New Roman" w:cs="Times New Roman"/>
          <w:sz w:val="24"/>
          <w:szCs w:val="24"/>
        </w:rPr>
        <w:tab/>
        <w:t>whether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initiated or sought to expedite the transaction;</w:t>
      </w:r>
    </w:p>
    <w:p w14:paraId="1AC9FF48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</w:p>
    <w:p w14:paraId="5253226E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>(9)</w:t>
      </w:r>
      <w:r w:rsidRPr="00C3371B">
        <w:rPr>
          <w:rFonts w:ascii="Times New Roman" w:hAnsi="Times New Roman" w:cs="Times New Roman"/>
          <w:sz w:val="24"/>
          <w:szCs w:val="24"/>
        </w:rPr>
        <w:tab/>
        <w:t>whether the defendant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prepared or provided to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materials that contained adequate warnings about the risks associated with the investment or adequate disclaimers describing limitations on the scope of the defendant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]’s representations or the defendant’s involvement; and</w:t>
      </w:r>
    </w:p>
    <w:p w14:paraId="5A5CB56B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</w:p>
    <w:p w14:paraId="31A8B372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260" w:right="720" w:hanging="540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>(10)</w:t>
      </w:r>
      <w:r w:rsidRPr="00C3371B">
        <w:rPr>
          <w:rFonts w:ascii="Times New Roman" w:hAnsi="Times New Roman" w:cs="Times New Roman"/>
          <w:sz w:val="24"/>
          <w:szCs w:val="24"/>
        </w:rPr>
        <w:tab/>
        <w:t>any other evidence you find helpful in deciding whether the plaintiff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 justifiably relied on the defendant [</w:t>
      </w:r>
      <w:r w:rsidRPr="00C3371B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C3371B">
        <w:rPr>
          <w:rFonts w:ascii="Times New Roman" w:hAnsi="Times New Roman" w:cs="Times New Roman"/>
          <w:sz w:val="24"/>
          <w:szCs w:val="24"/>
        </w:rPr>
        <w:t>]’s misrepresentation[s] or omission[s].</w:t>
      </w:r>
    </w:p>
    <w:p w14:paraId="2FF8F3A2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751CF" w14:textId="77777777" w:rsidR="00C3371B" w:rsidRPr="00C3371B" w:rsidRDefault="00C3371B" w:rsidP="00C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ab/>
        <w:t xml:space="preserve">For out-of-circuit cases listing these factors, see, e.g., 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>Brown v. E.F. Hutton Grp., Inc.</w:t>
      </w:r>
      <w:r w:rsidRPr="00C3371B">
        <w:rPr>
          <w:rFonts w:ascii="Times New Roman" w:hAnsi="Times New Roman" w:cs="Times New Roman"/>
          <w:sz w:val="24"/>
          <w:szCs w:val="24"/>
        </w:rPr>
        <w:t>, 991 F.2d 1020, 1032 (2d Cir. 1993);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 xml:space="preserve"> Davidson v. Wilson</w:t>
      </w:r>
      <w:r w:rsidRPr="00C3371B">
        <w:rPr>
          <w:rFonts w:ascii="Times New Roman" w:hAnsi="Times New Roman" w:cs="Times New Roman"/>
          <w:sz w:val="24"/>
          <w:szCs w:val="24"/>
        </w:rPr>
        <w:t xml:space="preserve">, 973 F.2d 1391, 1400 (8th Cir. 1992); 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>Myers v. Finkle</w:t>
      </w:r>
      <w:r w:rsidRPr="00C3371B">
        <w:rPr>
          <w:rFonts w:ascii="Times New Roman" w:hAnsi="Times New Roman" w:cs="Times New Roman"/>
          <w:sz w:val="24"/>
          <w:szCs w:val="24"/>
        </w:rPr>
        <w:t>, 950 F.2d 165, 167 (4th Cir. 1991);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 xml:space="preserve"> Jackvony v. RIHT Financial Corp.</w:t>
      </w:r>
      <w:r w:rsidRPr="00C3371B">
        <w:rPr>
          <w:rFonts w:ascii="Times New Roman" w:hAnsi="Times New Roman" w:cs="Times New Roman"/>
          <w:sz w:val="24"/>
          <w:szCs w:val="24"/>
        </w:rPr>
        <w:t xml:space="preserve">, 873 F.2d 411, 416 (1st Cir. 1989); 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>Bruschi v. Brown</w:t>
      </w:r>
      <w:r w:rsidRPr="00C3371B">
        <w:rPr>
          <w:rFonts w:ascii="Times New Roman" w:hAnsi="Times New Roman" w:cs="Times New Roman"/>
          <w:sz w:val="24"/>
          <w:szCs w:val="24"/>
        </w:rPr>
        <w:t xml:space="preserve">, 876 F.2d 1526, 1529 (11th Cir. 1989); 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>Zobrist v. Coal-X, Inc.</w:t>
      </w:r>
      <w:r w:rsidRPr="00C3371B">
        <w:rPr>
          <w:rFonts w:ascii="Times New Roman" w:hAnsi="Times New Roman" w:cs="Times New Roman"/>
          <w:sz w:val="24"/>
          <w:szCs w:val="24"/>
        </w:rPr>
        <w:t>, 708 F.2d 1511, 1518-19 (10th Cir. 1983).</w:t>
      </w:r>
    </w:p>
    <w:p w14:paraId="39FA68BD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0DBEC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sz w:val="24"/>
          <w:szCs w:val="24"/>
        </w:rPr>
        <w:tab/>
        <w:t xml:space="preserve">To establish that a defendant adequately warned the plaintiff of the attendant risks in a transaction, the defendant’s disclosures must have been precise and relate directly to what the plaintiff alleges was misleading. </w:t>
      </w:r>
      <w:r w:rsidRPr="00C3371B">
        <w:rPr>
          <w:rFonts w:ascii="Times New Roman" w:hAnsi="Times New Roman" w:cs="Times New Roman"/>
          <w:i/>
          <w:iCs/>
          <w:sz w:val="24"/>
          <w:szCs w:val="24"/>
        </w:rPr>
        <w:t>See In re Worlds of Wonder Sec. Litig.</w:t>
      </w:r>
      <w:r w:rsidRPr="00C3371B">
        <w:rPr>
          <w:rFonts w:ascii="Times New Roman" w:hAnsi="Times New Roman" w:cs="Times New Roman"/>
          <w:sz w:val="24"/>
          <w:szCs w:val="24"/>
        </w:rPr>
        <w:t>, 35 F.3d 1407, 1414-15 (9th Cir. 1994).</w:t>
      </w:r>
    </w:p>
    <w:p w14:paraId="0E51CE98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371B">
        <w:rPr>
          <w:rFonts w:ascii="Times New Roman" w:hAnsi="Times New Roman" w:cs="Times New Roman"/>
          <w:i/>
          <w:iCs/>
          <w:sz w:val="24"/>
          <w:szCs w:val="24"/>
        </w:rPr>
        <w:t>Revised September 2024</w:t>
      </w:r>
    </w:p>
    <w:p w14:paraId="736F593C" w14:textId="77777777" w:rsidR="00C3371B" w:rsidRPr="00C3371B" w:rsidRDefault="00C3371B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FCCF9" w14:textId="01C141A6" w:rsidR="00C30C2C" w:rsidRPr="007D591C" w:rsidRDefault="00C30C2C" w:rsidP="00C3371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0C2C" w:rsidRPr="007D5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612E"/>
    <w:multiLevelType w:val="hybridMultilevel"/>
    <w:tmpl w:val="42DAF2E0"/>
    <w:lvl w:ilvl="0" w:tplc="787480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015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1C"/>
    <w:rsid w:val="001F1832"/>
    <w:rsid w:val="00235FFF"/>
    <w:rsid w:val="002A79ED"/>
    <w:rsid w:val="00695F6A"/>
    <w:rsid w:val="006E771A"/>
    <w:rsid w:val="007D591C"/>
    <w:rsid w:val="00A17FCC"/>
    <w:rsid w:val="00AD0F70"/>
    <w:rsid w:val="00BC67C9"/>
    <w:rsid w:val="00C30C2C"/>
    <w:rsid w:val="00C3371B"/>
    <w:rsid w:val="00DB7C92"/>
    <w:rsid w:val="00EB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29F4"/>
  <w15:chartTrackingRefBased/>
  <w15:docId w15:val="{04BD1B55-5B8E-4F21-A22A-E878EDD6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1C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E771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E771A"/>
    <w:rPr>
      <w:rFonts w:eastAsiaTheme="majorEastAsia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Aejung Yoon</cp:lastModifiedBy>
  <cp:revision>4</cp:revision>
  <dcterms:created xsi:type="dcterms:W3CDTF">2024-10-30T18:26:00Z</dcterms:created>
  <dcterms:modified xsi:type="dcterms:W3CDTF">2026-03-27T00:21:00Z</dcterms:modified>
</cp:coreProperties>
</file>