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2B43" w14:textId="77777777" w:rsidR="004D72D4" w:rsidRPr="004D72D4" w:rsidRDefault="004D72D4" w:rsidP="004D72D4">
      <w:pPr>
        <w:autoSpaceDE w:val="0"/>
        <w:autoSpaceDN w:val="0"/>
        <w:adjustRightInd w:val="0"/>
        <w:jc w:val="center"/>
        <w:outlineLvl w:val="1"/>
        <w:rPr>
          <w:rFonts w:cs="Times New Roman"/>
          <w:b/>
          <w:bCs/>
          <w:szCs w:val="24"/>
        </w:rPr>
      </w:pPr>
      <w:bookmarkStart w:id="0" w:name="_Toc103098334"/>
      <w:r w:rsidRPr="004D72D4">
        <w:rPr>
          <w:rFonts w:cs="Times New Roman"/>
          <w:b/>
          <w:bCs/>
          <w:szCs w:val="24"/>
        </w:rPr>
        <w:t>18.8 Securities—Causation</w:t>
      </w:r>
      <w:bookmarkEnd w:id="0"/>
    </w:p>
    <w:p w14:paraId="6A1EA0EC" w14:textId="77777777" w:rsidR="004D72D4" w:rsidRPr="004D72D4" w:rsidRDefault="004D72D4" w:rsidP="004D72D4"/>
    <w:p w14:paraId="34107A0B" w14:textId="77777777" w:rsidR="004D72D4" w:rsidRPr="004D72D4" w:rsidRDefault="004D72D4" w:rsidP="004D72D4">
      <w:pPr>
        <w:numPr>
          <w:ilvl w:val="12"/>
          <w:numId w:val="0"/>
        </w:numPr>
        <w:autoSpaceDE w:val="0"/>
        <w:autoSpaceDN w:val="0"/>
        <w:adjustRightInd w:val="0"/>
        <w:rPr>
          <w:rFonts w:ascii="CG Times" w:hAnsi="CG Times" w:cs="CG Times"/>
          <w:szCs w:val="24"/>
        </w:rPr>
      </w:pPr>
      <w:r w:rsidRPr="004D72D4">
        <w:rPr>
          <w:rFonts w:ascii="CG Times" w:hAnsi="CG Times" w:cs="CG Times"/>
          <w:szCs w:val="24"/>
        </w:rPr>
        <w:tab/>
      </w:r>
      <w:r w:rsidRPr="004D72D4">
        <w:rPr>
          <w:rFonts w:cs="Times New Roman"/>
          <w:szCs w:val="24"/>
        </w:rPr>
        <w:t xml:space="preserve">The plaintiff must prove by a preponderance of the evidence </w:t>
      </w:r>
      <w:r w:rsidRPr="004D72D4">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7726B895" w14:textId="77777777" w:rsidR="004D72D4" w:rsidRPr="004D72D4" w:rsidRDefault="004D72D4" w:rsidP="004D72D4"/>
    <w:p w14:paraId="23841C00" w14:textId="77777777" w:rsidR="004D72D4" w:rsidRPr="004D72D4" w:rsidRDefault="004D72D4" w:rsidP="004D72D4">
      <w:pPr>
        <w:numPr>
          <w:ilvl w:val="12"/>
          <w:numId w:val="0"/>
        </w:numPr>
        <w:autoSpaceDE w:val="0"/>
        <w:autoSpaceDN w:val="0"/>
        <w:adjustRightInd w:val="0"/>
        <w:jc w:val="center"/>
        <w:rPr>
          <w:rFonts w:ascii="CG Times" w:hAnsi="CG Times" w:cs="CG Times"/>
          <w:b/>
          <w:bCs/>
          <w:szCs w:val="24"/>
        </w:rPr>
      </w:pPr>
      <w:r w:rsidRPr="004D72D4">
        <w:rPr>
          <w:rFonts w:ascii="CG Times" w:hAnsi="CG Times" w:cs="CG Times"/>
          <w:b/>
          <w:bCs/>
          <w:szCs w:val="24"/>
        </w:rPr>
        <w:t>Comment</w:t>
      </w:r>
    </w:p>
    <w:p w14:paraId="1E32E6D2" w14:textId="77777777" w:rsidR="004D72D4" w:rsidRPr="004D72D4" w:rsidRDefault="004D72D4" w:rsidP="004D72D4"/>
    <w:p w14:paraId="21CDD052" w14:textId="77777777" w:rsidR="004D72D4" w:rsidRPr="004D72D4" w:rsidRDefault="004D72D4" w:rsidP="004D72D4">
      <w:pPr>
        <w:numPr>
          <w:ilvl w:val="12"/>
          <w:numId w:val="0"/>
        </w:numPr>
        <w:autoSpaceDE w:val="0"/>
        <w:autoSpaceDN w:val="0"/>
        <w:adjustRightInd w:val="0"/>
        <w:rPr>
          <w:rFonts w:ascii="CG Times" w:hAnsi="CG Times" w:cs="CG Times"/>
          <w:szCs w:val="24"/>
        </w:rPr>
      </w:pPr>
      <w:r w:rsidRPr="004D72D4">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4D72D4">
        <w:rPr>
          <w:rFonts w:ascii="CG Times" w:hAnsi="CG Times" w:cs="CG Times"/>
          <w:i/>
          <w:iCs/>
          <w:szCs w:val="24"/>
        </w:rPr>
        <w:t>i.e.</w:t>
      </w:r>
      <w:r w:rsidRPr="004D72D4">
        <w:rPr>
          <w:rFonts w:ascii="CG Times" w:hAnsi="CG Times" w:cs="CG Times"/>
          <w:szCs w:val="24"/>
        </w:rPr>
        <w:t xml:space="preserve">, a causal connection between the material misrepresentation and the loss.”  </w:t>
      </w:r>
      <w:r w:rsidRPr="004D72D4">
        <w:rPr>
          <w:rFonts w:ascii="CG Times" w:hAnsi="CG Times" w:cs="CG Times"/>
          <w:i/>
          <w:iCs/>
          <w:szCs w:val="24"/>
        </w:rPr>
        <w:t xml:space="preserve">Dura Pharms., Inc. v. </w:t>
      </w:r>
      <w:proofErr w:type="spellStart"/>
      <w:r w:rsidRPr="004D72D4">
        <w:rPr>
          <w:rFonts w:ascii="CG Times" w:hAnsi="CG Times" w:cs="CG Times"/>
          <w:i/>
          <w:iCs/>
          <w:szCs w:val="24"/>
        </w:rPr>
        <w:t>Broudo</w:t>
      </w:r>
      <w:proofErr w:type="spellEnd"/>
      <w:r w:rsidRPr="004D72D4">
        <w:rPr>
          <w:rFonts w:ascii="CG Times" w:hAnsi="CG Times" w:cs="CG Times"/>
          <w:szCs w:val="24"/>
        </w:rPr>
        <w:t>,</w:t>
      </w:r>
      <w:r w:rsidRPr="004D72D4">
        <w:rPr>
          <w:rFonts w:ascii="CG Times" w:hAnsi="CG Times" w:cs="CG Times"/>
          <w:i/>
          <w:iCs/>
          <w:szCs w:val="24"/>
        </w:rPr>
        <w:t xml:space="preserve"> </w:t>
      </w:r>
      <w:r w:rsidRPr="004D72D4">
        <w:rPr>
          <w:rFonts w:ascii="CG Times" w:hAnsi="CG Times" w:cs="CG Times"/>
          <w:szCs w:val="24"/>
        </w:rPr>
        <w:t>544</w:t>
      </w:r>
      <w:r w:rsidRPr="004D72D4">
        <w:rPr>
          <w:rFonts w:ascii="CG Times" w:hAnsi="CG Times" w:cs="CG Times"/>
          <w:i/>
          <w:iCs/>
          <w:szCs w:val="24"/>
        </w:rPr>
        <w:t xml:space="preserve"> </w:t>
      </w:r>
      <w:r w:rsidRPr="004D72D4">
        <w:rPr>
          <w:rFonts w:ascii="CG Times" w:hAnsi="CG Times" w:cs="CG Times"/>
          <w:szCs w:val="24"/>
        </w:rPr>
        <w:t xml:space="preserve">U.S. 336, 342 (2005).  In </w:t>
      </w:r>
      <w:r w:rsidRPr="004D72D4">
        <w:rPr>
          <w:rFonts w:ascii="CG Times" w:hAnsi="CG Times" w:cs="CG Times"/>
          <w:i/>
          <w:iCs/>
          <w:szCs w:val="24"/>
        </w:rPr>
        <w:t>Dura</w:t>
      </w:r>
      <w:r w:rsidRPr="004D72D4">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4D72D4">
        <w:rPr>
          <w:rFonts w:ascii="CG Times" w:hAnsi="CG Times" w:cs="CG Times"/>
          <w:i/>
          <w:iCs/>
          <w:szCs w:val="24"/>
        </w:rPr>
        <w:t xml:space="preserve">Id. </w:t>
      </w:r>
      <w:r w:rsidRPr="004D72D4">
        <w:rPr>
          <w:rFonts w:ascii="CG Times" w:hAnsi="CG Times" w:cs="CG Times"/>
          <w:szCs w:val="24"/>
        </w:rPr>
        <w:t>at</w:t>
      </w:r>
      <w:r w:rsidRPr="004D72D4">
        <w:rPr>
          <w:rFonts w:ascii="CG Times" w:hAnsi="CG Times" w:cs="CG Times"/>
          <w:i/>
          <w:iCs/>
          <w:szCs w:val="24"/>
        </w:rPr>
        <w:t xml:space="preserve"> </w:t>
      </w:r>
      <w:r w:rsidRPr="004D72D4">
        <w:rPr>
          <w:rFonts w:ascii="CG Times" w:hAnsi="CG Times" w:cs="CG Times"/>
          <w:szCs w:val="24"/>
        </w:rPr>
        <w:t>346</w:t>
      </w:r>
      <w:r w:rsidRPr="004D72D4">
        <w:rPr>
          <w:rFonts w:ascii="CG Times" w:hAnsi="CG Times" w:cs="CG Times"/>
          <w:i/>
          <w:iCs/>
          <w:szCs w:val="24"/>
        </w:rPr>
        <w:t>.</w:t>
      </w:r>
      <w:r w:rsidRPr="004D72D4">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4D72D4">
        <w:rPr>
          <w:rFonts w:ascii="CG Times" w:hAnsi="CG Times" w:cs="CG Times"/>
          <w:i/>
          <w:iCs/>
          <w:szCs w:val="24"/>
        </w:rPr>
        <w:t>not</w:t>
      </w:r>
      <w:r w:rsidRPr="004D72D4">
        <w:rPr>
          <w:rFonts w:ascii="CG Times" w:hAnsi="CG Times" w:cs="CG Times"/>
          <w:szCs w:val="24"/>
        </w:rPr>
        <w:t xml:space="preserve"> sufficient to establish loss causation for </w:t>
      </w:r>
      <w:proofErr w:type="gramStart"/>
      <w:r w:rsidRPr="004D72D4">
        <w:rPr>
          <w:rFonts w:ascii="CG Times" w:hAnsi="CG Times" w:cs="CG Times"/>
          <w:szCs w:val="24"/>
        </w:rPr>
        <w:t>a number of</w:t>
      </w:r>
      <w:proofErr w:type="gramEnd"/>
      <w:r w:rsidRPr="004D72D4">
        <w:rPr>
          <w:rFonts w:ascii="CG Times" w:hAnsi="CG Times" w:cs="CG Times"/>
          <w:szCs w:val="24"/>
        </w:rPr>
        <w:t xml:space="preserve">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w:t>
      </w:r>
      <w:proofErr w:type="gramStart"/>
      <w:r w:rsidRPr="004D72D4">
        <w:rPr>
          <w:rFonts w:ascii="CG Times" w:hAnsi="CG Times" w:cs="CG Times"/>
          <w:szCs w:val="24"/>
        </w:rPr>
        <w:t>as a result of</w:t>
      </w:r>
      <w:proofErr w:type="gramEnd"/>
      <w:r w:rsidRPr="004D72D4">
        <w:rPr>
          <w:rFonts w:ascii="CG Times" w:hAnsi="CG Times" w:cs="CG Times"/>
          <w:szCs w:val="24"/>
        </w:rPr>
        <w:t xml:space="preserve">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4D72D4">
        <w:rPr>
          <w:rFonts w:ascii="CG Times" w:hAnsi="CG Times" w:cs="CG Times"/>
          <w:i/>
          <w:iCs/>
          <w:szCs w:val="24"/>
        </w:rPr>
        <w:t>Id</w:t>
      </w:r>
      <w:r w:rsidRPr="004D72D4">
        <w:rPr>
          <w:rFonts w:ascii="CG Times" w:hAnsi="CG Times" w:cs="CG Times"/>
          <w:szCs w:val="24"/>
        </w:rPr>
        <w:t>. at 346</w:t>
      </w:r>
      <w:r w:rsidRPr="004D72D4">
        <w:rPr>
          <w:rFonts w:cs="Times New Roman"/>
          <w:szCs w:val="24"/>
        </w:rPr>
        <w:t>-</w:t>
      </w:r>
      <w:r w:rsidRPr="004D72D4">
        <w:rPr>
          <w:rFonts w:ascii="CG Times" w:hAnsi="CG Times" w:cs="CG Times"/>
          <w:szCs w:val="24"/>
        </w:rPr>
        <w:t>48.</w:t>
      </w:r>
    </w:p>
    <w:p w14:paraId="6FBD9EF2" w14:textId="77777777" w:rsidR="004D72D4" w:rsidRPr="004D72D4" w:rsidRDefault="004D72D4" w:rsidP="004D72D4">
      <w:pPr>
        <w:numPr>
          <w:ilvl w:val="12"/>
          <w:numId w:val="0"/>
        </w:numPr>
        <w:autoSpaceDE w:val="0"/>
        <w:autoSpaceDN w:val="0"/>
        <w:adjustRightInd w:val="0"/>
        <w:rPr>
          <w:rFonts w:ascii="CG Times" w:hAnsi="CG Times" w:cs="CG Times"/>
          <w:szCs w:val="24"/>
        </w:rPr>
      </w:pPr>
    </w:p>
    <w:p w14:paraId="58879CDA" w14:textId="77777777" w:rsidR="004D72D4" w:rsidRPr="004D72D4" w:rsidRDefault="004D72D4" w:rsidP="004D72D4">
      <w:pPr>
        <w:numPr>
          <w:ilvl w:val="12"/>
          <w:numId w:val="0"/>
        </w:numPr>
        <w:autoSpaceDE w:val="0"/>
        <w:autoSpaceDN w:val="0"/>
        <w:adjustRightInd w:val="0"/>
        <w:rPr>
          <w:rFonts w:ascii="CG Times" w:hAnsi="CG Times" w:cs="CG Times"/>
          <w:szCs w:val="24"/>
        </w:rPr>
      </w:pPr>
      <w:r w:rsidRPr="004D72D4">
        <w:rPr>
          <w:rFonts w:ascii="CG Times" w:hAnsi="CG Times" w:cs="CG Times"/>
          <w:szCs w:val="24"/>
        </w:rPr>
        <w:tab/>
        <w:t>The Ninth Circuit has stated that “[t]</w:t>
      </w:r>
      <w:proofErr w:type="spellStart"/>
      <w:r w:rsidRPr="004D72D4">
        <w:rPr>
          <w:rFonts w:ascii="CG Times" w:hAnsi="CG Times" w:cs="CG Times"/>
          <w:szCs w:val="24"/>
        </w:rPr>
        <w:t>ypically</w:t>
      </w:r>
      <w:proofErr w:type="spellEnd"/>
      <w:r w:rsidRPr="004D72D4">
        <w:rPr>
          <w:rFonts w:ascii="CG Times" w:hAnsi="CG Times" w:cs="CG Times"/>
          <w:szCs w:val="24"/>
        </w:rPr>
        <w:t xml:space="preserve">, ‘to satisfy the loss causation requirement, the plaintiff must show that the revelation of that misrepresentation or omission was a substantial factor in causing a decline in the security’s price, thus creating an actual economic loss for the plaintiff.’”  </w:t>
      </w:r>
      <w:r w:rsidRPr="004D72D4">
        <w:rPr>
          <w:rFonts w:ascii="CG Times" w:hAnsi="CG Times" w:cs="CG Times"/>
          <w:i/>
          <w:iCs/>
          <w:szCs w:val="24"/>
        </w:rPr>
        <w:t>Nuveen Mun. High Income Opportunity Fund v. City of Alameda</w:t>
      </w:r>
      <w:r w:rsidRPr="004D72D4">
        <w:rPr>
          <w:rFonts w:ascii="CG Times" w:hAnsi="CG Times" w:cs="CG Times"/>
          <w:szCs w:val="24"/>
        </w:rPr>
        <w:t xml:space="preserve">, 730 F.3d 1111, 1119 (9th Cir. 2013) (quoting </w:t>
      </w:r>
      <w:r w:rsidRPr="004D72D4">
        <w:rPr>
          <w:rFonts w:ascii="CG Times" w:hAnsi="CG Times" w:cs="CG Times"/>
          <w:i/>
          <w:iCs/>
          <w:szCs w:val="24"/>
        </w:rPr>
        <w:t>McCabe v. Ernst &amp; Young, LLP</w:t>
      </w:r>
      <w:r w:rsidRPr="004D72D4">
        <w:rPr>
          <w:rFonts w:ascii="CG Times" w:hAnsi="CG Times" w:cs="CG Times"/>
          <w:szCs w:val="24"/>
        </w:rPr>
        <w:t>, 494 F.3d 418, 425-26 (3d Cir.2007)).  While “</w:t>
      </w:r>
      <w:r w:rsidRPr="004D72D4">
        <w:rPr>
          <w:rFonts w:cs="Times New Roman"/>
          <w:szCs w:val="24"/>
        </w:rPr>
        <w:t xml:space="preserve">an outright admission of fraud” is not required, “a mere ‘risk’ or ‘potential’ for fraud is insufficient to establish loss causation.”  </w:t>
      </w:r>
      <w:r w:rsidRPr="004D72D4">
        <w:rPr>
          <w:rFonts w:cs="Times New Roman"/>
          <w:i/>
          <w:iCs/>
          <w:szCs w:val="24"/>
        </w:rPr>
        <w:t>Loos v. Immersion Corp.</w:t>
      </w:r>
      <w:r w:rsidRPr="004D72D4">
        <w:rPr>
          <w:rFonts w:cs="Times New Roman"/>
          <w:szCs w:val="24"/>
        </w:rPr>
        <w:t>, 762 F.3d 880, 888</w:t>
      </w:r>
      <w:r w:rsidRPr="004D72D4">
        <w:rPr>
          <w:rFonts w:ascii="CG Times" w:hAnsi="CG Times" w:cs="CG Times"/>
          <w:szCs w:val="24"/>
        </w:rPr>
        <w:t>-</w:t>
      </w:r>
      <w:r w:rsidRPr="004D72D4">
        <w:rPr>
          <w:rFonts w:cs="Times New Roman"/>
          <w:szCs w:val="24"/>
        </w:rPr>
        <w:t xml:space="preserve">89 (9th Cir. 2014) (quoting </w:t>
      </w:r>
      <w:r w:rsidRPr="004D72D4">
        <w:rPr>
          <w:rFonts w:cs="Times New Roman"/>
          <w:i/>
          <w:iCs/>
          <w:szCs w:val="24"/>
        </w:rPr>
        <w:t>Metzler Inv. GMBH v. Corinthian Colls., Inc.</w:t>
      </w:r>
      <w:r w:rsidRPr="004D72D4">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4D72D4">
        <w:rPr>
          <w:rFonts w:ascii="CG Times" w:hAnsi="CG Times" w:cs="CG Times"/>
          <w:szCs w:val="24"/>
        </w:rPr>
        <w:t>However, “[d]</w:t>
      </w:r>
      <w:proofErr w:type="spellStart"/>
      <w:r w:rsidRPr="004D72D4">
        <w:rPr>
          <w:rFonts w:ascii="CG Times" w:hAnsi="CG Times" w:cs="CG Times"/>
          <w:szCs w:val="24"/>
        </w:rPr>
        <w:t>isclosure</w:t>
      </w:r>
      <w:proofErr w:type="spellEnd"/>
      <w:r w:rsidRPr="004D72D4">
        <w:rPr>
          <w:rFonts w:ascii="CG Times" w:hAnsi="CG Times" w:cs="CG Times"/>
          <w:szCs w:val="24"/>
        </w:rPr>
        <w:t xml:space="preserve"> of the fraud is not a sine qua non of loss causation, which may be shown even where the alleged fraud is not necessarily revealed prior to the economic loss.”  </w:t>
      </w:r>
      <w:r w:rsidRPr="004D72D4">
        <w:rPr>
          <w:rFonts w:ascii="CG Times" w:hAnsi="CG Times" w:cs="CG Times"/>
          <w:i/>
          <w:iCs/>
          <w:szCs w:val="24"/>
        </w:rPr>
        <w:t xml:space="preserve">Nuveen, </w:t>
      </w:r>
      <w:r w:rsidRPr="004D72D4">
        <w:rPr>
          <w:rFonts w:ascii="CG Times" w:hAnsi="CG Times" w:cs="CG Times"/>
          <w:szCs w:val="24"/>
        </w:rPr>
        <w:t xml:space="preserve">730 F.3d at 1120.  Accordingly, “a plaintiff can satisfy loss </w:t>
      </w:r>
    </w:p>
    <w:p w14:paraId="6599499C" w14:textId="77777777" w:rsidR="004D72D4" w:rsidRPr="004D72D4" w:rsidRDefault="004D72D4" w:rsidP="004D72D4">
      <w:pPr>
        <w:numPr>
          <w:ilvl w:val="12"/>
          <w:numId w:val="0"/>
        </w:numPr>
        <w:autoSpaceDE w:val="0"/>
        <w:autoSpaceDN w:val="0"/>
        <w:adjustRightInd w:val="0"/>
        <w:rPr>
          <w:rFonts w:ascii="CG Times" w:hAnsi="CG Times" w:cs="CG Times"/>
          <w:szCs w:val="24"/>
        </w:rPr>
      </w:pPr>
      <w:r w:rsidRPr="004D72D4">
        <w:rPr>
          <w:rFonts w:ascii="CG Times" w:hAnsi="CG Times" w:cs="CG Times"/>
          <w:szCs w:val="24"/>
        </w:rPr>
        <w:lastRenderedPageBreak/>
        <w:t xml:space="preserve">causation by showing that ‘the defendant misrepresented or omitted the </w:t>
      </w:r>
      <w:r w:rsidRPr="004D72D4">
        <w:rPr>
          <w:rFonts w:ascii="CG Times" w:hAnsi="CG Times" w:cs="CG Times"/>
          <w:i/>
          <w:iCs/>
          <w:szCs w:val="24"/>
        </w:rPr>
        <w:t>very facts</w:t>
      </w:r>
      <w:r w:rsidRPr="004D72D4">
        <w:rPr>
          <w:rFonts w:ascii="CG Times" w:hAnsi="CG Times" w:cs="CG Times"/>
          <w:szCs w:val="24"/>
        </w:rPr>
        <w:t xml:space="preserve"> that were a substantial factor in causing the plaintiff’s economic loss.”’  </w:t>
      </w:r>
      <w:r w:rsidRPr="004D72D4">
        <w:rPr>
          <w:rFonts w:ascii="CG Times" w:hAnsi="CG Times" w:cs="CG Times"/>
          <w:i/>
          <w:iCs/>
          <w:szCs w:val="24"/>
        </w:rPr>
        <w:t>Id.</w:t>
      </w:r>
      <w:r w:rsidRPr="004D72D4">
        <w:rPr>
          <w:rFonts w:ascii="CG Times" w:hAnsi="CG Times" w:cs="CG Times"/>
          <w:szCs w:val="24"/>
        </w:rPr>
        <w:t xml:space="preserve"> (quoting </w:t>
      </w:r>
      <w:r w:rsidRPr="004D72D4">
        <w:rPr>
          <w:rFonts w:ascii="CG Times" w:hAnsi="CG Times" w:cs="CG Times"/>
          <w:i/>
          <w:iCs/>
          <w:szCs w:val="24"/>
        </w:rPr>
        <w:t>McCabe</w:t>
      </w:r>
      <w:r w:rsidRPr="004D72D4">
        <w:rPr>
          <w:rFonts w:ascii="CG Times" w:hAnsi="CG Times" w:cs="CG Times"/>
          <w:szCs w:val="24"/>
        </w:rPr>
        <w:t>, 494 F.3d at 425).  For example, in</w:t>
      </w:r>
      <w:r w:rsidRPr="004D72D4">
        <w:rPr>
          <w:rFonts w:ascii="CG Times" w:hAnsi="CG Times" w:cs="CG Times"/>
          <w:i/>
          <w:iCs/>
          <w:szCs w:val="24"/>
        </w:rPr>
        <w:t xml:space="preserve"> Livid Holdings Ltd. v. Salomon Smith Barney, Inc.</w:t>
      </w:r>
      <w:r w:rsidRPr="004D72D4">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4D72D4">
        <w:rPr>
          <w:rFonts w:ascii="CG Times" w:hAnsi="CG Times" w:cs="CG Times"/>
          <w:i/>
          <w:iCs/>
          <w:szCs w:val="24"/>
        </w:rPr>
        <w:t xml:space="preserve">See also id. </w:t>
      </w:r>
      <w:r w:rsidRPr="004D72D4">
        <w:rPr>
          <w:rFonts w:ascii="CG Times" w:hAnsi="CG Times" w:cs="CG Times"/>
          <w:szCs w:val="24"/>
        </w:rPr>
        <w:t xml:space="preserve">at 949 n.2 (concluding that </w:t>
      </w:r>
      <w:r w:rsidRPr="004D72D4">
        <w:rPr>
          <w:rFonts w:ascii="CG Times" w:hAnsi="CG Times" w:cs="CG Times"/>
          <w:i/>
          <w:iCs/>
          <w:szCs w:val="24"/>
        </w:rPr>
        <w:t>Dura</w:t>
      </w:r>
      <w:r w:rsidRPr="004D72D4">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price but pled that the [d]</w:t>
      </w:r>
      <w:proofErr w:type="spellStart"/>
      <w:r w:rsidRPr="004D72D4">
        <w:rPr>
          <w:rFonts w:ascii="CG Times" w:hAnsi="CG Times" w:cs="CG Times"/>
          <w:szCs w:val="24"/>
        </w:rPr>
        <w:t>efendants</w:t>
      </w:r>
      <w:proofErr w:type="spellEnd"/>
      <w:r w:rsidRPr="004D72D4">
        <w:rPr>
          <w:rFonts w:ascii="CG Times" w:hAnsi="CG Times" w:cs="CG Times"/>
          <w:szCs w:val="24"/>
        </w:rPr>
        <w:t>’ misrepresentation was causally related to the loss it sustained”).</w:t>
      </w:r>
      <w:r w:rsidRPr="004D72D4">
        <w:rPr>
          <w:i/>
          <w:iCs/>
          <w:color w:val="FF0000"/>
        </w:rPr>
        <w:t xml:space="preserve"> </w:t>
      </w:r>
      <w:r w:rsidRPr="004D72D4">
        <w:rPr>
          <w:i/>
          <w:iCs/>
        </w:rPr>
        <w:t xml:space="preserve"> See also </w:t>
      </w:r>
      <w:proofErr w:type="spellStart"/>
      <w:r w:rsidRPr="004D72D4">
        <w:rPr>
          <w:i/>
          <w:iCs/>
        </w:rPr>
        <w:t>Wochos</w:t>
      </w:r>
      <w:proofErr w:type="spellEnd"/>
      <w:r w:rsidRPr="004D72D4">
        <w:rPr>
          <w:i/>
          <w:iCs/>
        </w:rPr>
        <w:t xml:space="preserve"> v. Tesla Motors, Inc.</w:t>
      </w:r>
      <w:r w:rsidRPr="004D72D4">
        <w:t xml:space="preserve">, 985 F.3d 1180, 1198 (9th Cir. 2021) (upholding dismissal with prejudice when modest stock price drops quickly rebounded because “[t]o adequately plead loss causation . . . a plaintiff must allege that the ‘share price fell significantly after the truth became known’” (quoting </w:t>
      </w:r>
      <w:proofErr w:type="gramStart"/>
      <w:r w:rsidRPr="004D72D4">
        <w:rPr>
          <w:i/>
          <w:iCs/>
        </w:rPr>
        <w:t>In</w:t>
      </w:r>
      <w:proofErr w:type="gramEnd"/>
      <w:r w:rsidRPr="004D72D4">
        <w:rPr>
          <w:i/>
          <w:iCs/>
        </w:rPr>
        <w:t xml:space="preserve"> re Oracle Corp. Sec. Litig.</w:t>
      </w:r>
      <w:r w:rsidRPr="004D72D4">
        <w:t>, 627 F.3d 376, 392 (9th Cir. 2010)).</w:t>
      </w:r>
    </w:p>
    <w:p w14:paraId="44A9CD86" w14:textId="77777777" w:rsidR="004D72D4" w:rsidRPr="004D72D4" w:rsidRDefault="004D72D4" w:rsidP="004D72D4">
      <w:pPr>
        <w:numPr>
          <w:ilvl w:val="12"/>
          <w:numId w:val="0"/>
        </w:numPr>
        <w:autoSpaceDE w:val="0"/>
        <w:autoSpaceDN w:val="0"/>
        <w:adjustRightInd w:val="0"/>
        <w:rPr>
          <w:rFonts w:ascii="CG Times" w:hAnsi="CG Times" w:cs="CG Times"/>
          <w:szCs w:val="24"/>
        </w:rPr>
      </w:pPr>
    </w:p>
    <w:p w14:paraId="413E5E14" w14:textId="77777777" w:rsidR="004D72D4" w:rsidRPr="004D72D4" w:rsidRDefault="004D72D4" w:rsidP="004D72D4">
      <w:pPr>
        <w:autoSpaceDE w:val="0"/>
        <w:autoSpaceDN w:val="0"/>
        <w:adjustRightInd w:val="0"/>
        <w:ind w:firstLine="720"/>
        <w:rPr>
          <w:rFonts w:cs="Times New Roman"/>
          <w:i/>
          <w:iCs/>
          <w:szCs w:val="24"/>
        </w:rPr>
      </w:pPr>
      <w:r w:rsidRPr="004D72D4">
        <w:rPr>
          <w:rFonts w:cs="Times New Roman"/>
          <w:szCs w:val="24"/>
          <w:lang w:val="en-CA"/>
        </w:rPr>
        <w:fldChar w:fldCharType="begin"/>
      </w:r>
      <w:r w:rsidRPr="004D72D4">
        <w:rPr>
          <w:rFonts w:cs="Times New Roman"/>
          <w:szCs w:val="24"/>
          <w:lang w:val="en-CA"/>
        </w:rPr>
        <w:instrText xml:space="preserve"> SEQ CHAPTER \h \r 1</w:instrText>
      </w:r>
      <w:r w:rsidRPr="004D72D4">
        <w:rPr>
          <w:rFonts w:cs="Times New Roman"/>
          <w:szCs w:val="24"/>
          <w:lang w:val="en-CA"/>
        </w:rPr>
        <w:fldChar w:fldCharType="end"/>
      </w:r>
      <w:r w:rsidRPr="004D72D4">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D72D4">
        <w:rPr>
          <w:rFonts w:cs="Times New Roman"/>
          <w:i/>
          <w:iCs/>
          <w:szCs w:val="24"/>
        </w:rPr>
        <w:t xml:space="preserve">In re </w:t>
      </w:r>
      <w:proofErr w:type="spellStart"/>
      <w:r w:rsidRPr="004D72D4">
        <w:rPr>
          <w:rFonts w:cs="Times New Roman"/>
          <w:i/>
          <w:iCs/>
          <w:szCs w:val="24"/>
        </w:rPr>
        <w:t>BofI</w:t>
      </w:r>
      <w:proofErr w:type="spellEnd"/>
      <w:r w:rsidRPr="004D72D4">
        <w:rPr>
          <w:rFonts w:cs="Times New Roman"/>
          <w:i/>
          <w:iCs/>
          <w:szCs w:val="24"/>
        </w:rPr>
        <w:t xml:space="preserve"> Holding, Inc. Sec. Litig</w:t>
      </w:r>
      <w:r w:rsidRPr="004D72D4">
        <w:rPr>
          <w:rFonts w:cs="Times New Roman"/>
          <w:szCs w:val="24"/>
        </w:rPr>
        <w:t xml:space="preserve">., 977 F.3d 781, 789 (9th Cir. 2020) (quoting </w:t>
      </w:r>
      <w:r w:rsidRPr="004D72D4">
        <w:rPr>
          <w:rFonts w:cs="Times New Roman"/>
          <w:i/>
          <w:iCs/>
          <w:szCs w:val="24"/>
        </w:rPr>
        <w:t>Dura Pharms., Inc</w:t>
      </w:r>
      <w:r w:rsidRPr="004D72D4">
        <w:rPr>
          <w:rFonts w:cs="Times New Roman"/>
          <w:szCs w:val="24"/>
        </w:rPr>
        <w:t xml:space="preserve">., 544 U.S. at 347).  A plaintiff may prove that “the truth became known” by identifying one or more “corrective disclosures.”  </w:t>
      </w:r>
      <w:r w:rsidRPr="004D72D4">
        <w:rPr>
          <w:rFonts w:cs="Times New Roman"/>
          <w:i/>
          <w:iCs/>
          <w:szCs w:val="24"/>
        </w:rPr>
        <w:t>Id</w:t>
      </w:r>
      <w:r w:rsidRPr="004D72D4">
        <w:rPr>
          <w:rFonts w:cs="Times New Roman"/>
          <w:szCs w:val="24"/>
        </w:rPr>
        <w:t xml:space="preserve">. at 790.  “A corrective disclosure occurs when ‘information correcting the misstatement or omission that is the basis for the action is disseminated to the market.’”  </w:t>
      </w:r>
      <w:r w:rsidRPr="004D72D4">
        <w:rPr>
          <w:rFonts w:cs="Times New Roman"/>
          <w:i/>
          <w:iCs/>
          <w:szCs w:val="24"/>
        </w:rPr>
        <w:t>Id</w:t>
      </w:r>
      <w:r w:rsidRPr="004D72D4">
        <w:rPr>
          <w:rFonts w:cs="Times New Roman"/>
          <w:szCs w:val="24"/>
        </w:rPr>
        <w:t>. (quoting 15 U.S.C. § 78u-4(e)(1));</w:t>
      </w:r>
      <w:r w:rsidRPr="004D72D4">
        <w:rPr>
          <w:rFonts w:cs="Times New Roman"/>
          <w:i/>
          <w:iCs/>
          <w:szCs w:val="24"/>
        </w:rPr>
        <w:t xml:space="preserve"> see also Grigsby v. </w:t>
      </w:r>
      <w:proofErr w:type="spellStart"/>
      <w:r w:rsidRPr="004D72D4">
        <w:rPr>
          <w:rFonts w:cs="Times New Roman"/>
          <w:i/>
          <w:iCs/>
          <w:szCs w:val="24"/>
        </w:rPr>
        <w:t>BofI</w:t>
      </w:r>
      <w:proofErr w:type="spellEnd"/>
      <w:r w:rsidRPr="004D72D4">
        <w:rPr>
          <w:rFonts w:cs="Times New Roman"/>
          <w:i/>
          <w:iCs/>
          <w:szCs w:val="24"/>
        </w:rPr>
        <w:t xml:space="preserve"> Holding, Inc</w:t>
      </w:r>
      <w:r w:rsidRPr="004D72D4">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proofErr w:type="gramStart"/>
      <w:r w:rsidRPr="004D72D4">
        <w:rPr>
          <w:rFonts w:cs="Times New Roman"/>
          <w:i/>
          <w:iCs/>
          <w:szCs w:val="24"/>
        </w:rPr>
        <w:t>In</w:t>
      </w:r>
      <w:proofErr w:type="gramEnd"/>
      <w:r w:rsidRPr="004D72D4">
        <w:rPr>
          <w:rFonts w:cs="Times New Roman"/>
          <w:i/>
          <w:iCs/>
          <w:szCs w:val="24"/>
        </w:rPr>
        <w:t xml:space="preserve"> re </w:t>
      </w:r>
      <w:proofErr w:type="spellStart"/>
      <w:r w:rsidRPr="004D72D4">
        <w:rPr>
          <w:rFonts w:cs="Times New Roman"/>
          <w:i/>
          <w:iCs/>
          <w:szCs w:val="24"/>
        </w:rPr>
        <w:t>BofI</w:t>
      </w:r>
      <w:proofErr w:type="spellEnd"/>
      <w:r w:rsidRPr="004D72D4">
        <w:rPr>
          <w:rFonts w:cs="Times New Roman"/>
          <w:i/>
          <w:iCs/>
          <w:szCs w:val="24"/>
        </w:rPr>
        <w:t xml:space="preserve"> Holding, Inc. Sec. Litig</w:t>
      </w:r>
      <w:r w:rsidRPr="004D72D4">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D72D4">
        <w:rPr>
          <w:rFonts w:cs="Times New Roman"/>
          <w:i/>
          <w:iCs/>
          <w:szCs w:val="24"/>
        </w:rPr>
        <w:t>Id</w:t>
      </w:r>
      <w:r w:rsidRPr="004D72D4">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D72D4">
        <w:rPr>
          <w:rFonts w:cs="Times New Roman"/>
          <w:i/>
          <w:iCs/>
          <w:szCs w:val="24"/>
        </w:rPr>
        <w:t xml:space="preserve"> Id</w:t>
      </w:r>
      <w:r w:rsidRPr="004D72D4">
        <w:rPr>
          <w:rFonts w:cs="Times New Roman"/>
          <w:szCs w:val="24"/>
        </w:rPr>
        <w:t xml:space="preserve">.  A corrective disclosure “need not precisely mirror the earlier misrepresentation,” </w:t>
      </w:r>
      <w:r w:rsidRPr="004D72D4">
        <w:rPr>
          <w:rFonts w:cs="Times New Roman"/>
          <w:i/>
          <w:iCs/>
          <w:szCs w:val="24"/>
        </w:rPr>
        <w:t>id</w:t>
      </w:r>
      <w:r w:rsidRPr="004D72D4">
        <w:rPr>
          <w:rFonts w:cs="Times New Roman"/>
          <w:szCs w:val="24"/>
        </w:rPr>
        <w:t>. (</w:t>
      </w:r>
      <w:proofErr w:type="gramStart"/>
      <w:r w:rsidRPr="004D72D4">
        <w:rPr>
          <w:rFonts w:cs="Times New Roman"/>
          <w:szCs w:val="24"/>
        </w:rPr>
        <w:t>internal</w:t>
      </w:r>
      <w:proofErr w:type="gramEnd"/>
      <w:r w:rsidRPr="004D72D4">
        <w:rPr>
          <w:rFonts w:cs="Times New Roman"/>
          <w:szCs w:val="24"/>
        </w:rPr>
        <w:t xml:space="preserve"> quotation marks omitted), as it “is enough if the disclosure reveals new facts that, taken as true, render some aspect of the defendant's prior statements false or misleading.” </w:t>
      </w:r>
      <w:r w:rsidRPr="004D72D4">
        <w:rPr>
          <w:rFonts w:cs="Times New Roman"/>
          <w:i/>
          <w:iCs/>
          <w:szCs w:val="24"/>
        </w:rPr>
        <w:t xml:space="preserve"> Id</w:t>
      </w:r>
      <w:r w:rsidRPr="004D72D4">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D72D4">
        <w:rPr>
          <w:rFonts w:cs="Times New Roman"/>
          <w:i/>
          <w:iCs/>
          <w:szCs w:val="24"/>
        </w:rPr>
        <w:t>Id</w:t>
      </w:r>
      <w:r w:rsidRPr="004D72D4">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D72D4">
        <w:rPr>
          <w:rFonts w:cs="Times New Roman"/>
          <w:i/>
          <w:iCs/>
          <w:szCs w:val="24"/>
        </w:rPr>
        <w:t>Id</w:t>
      </w:r>
      <w:r w:rsidRPr="004D72D4">
        <w:rPr>
          <w:rFonts w:cs="Times New Roman"/>
          <w:szCs w:val="24"/>
        </w:rPr>
        <w:t xml:space="preserve">. (citations omitted).  While the “plaintiff must, of course, prove that the defendant’s misstatements were false, . . . that can be done through proof other than the corrective disclosure itself.” </w:t>
      </w:r>
      <w:r w:rsidRPr="004D72D4">
        <w:rPr>
          <w:rFonts w:cs="Times New Roman"/>
          <w:i/>
          <w:iCs/>
          <w:szCs w:val="24"/>
        </w:rPr>
        <w:t xml:space="preserve"> Id.</w:t>
      </w:r>
    </w:p>
    <w:p w14:paraId="30D3E714" w14:textId="77777777" w:rsidR="004D72D4" w:rsidRPr="004D72D4" w:rsidRDefault="004D72D4" w:rsidP="004D72D4">
      <w:pPr>
        <w:numPr>
          <w:ilvl w:val="12"/>
          <w:numId w:val="0"/>
        </w:numPr>
        <w:autoSpaceDE w:val="0"/>
        <w:autoSpaceDN w:val="0"/>
        <w:adjustRightInd w:val="0"/>
        <w:jc w:val="right"/>
        <w:rPr>
          <w:rFonts w:cs="Times New Roman"/>
          <w:i/>
          <w:iCs/>
          <w:szCs w:val="24"/>
        </w:rPr>
      </w:pPr>
    </w:p>
    <w:p w14:paraId="58DDCA2A" w14:textId="6EE9A0C5" w:rsidR="000242B3" w:rsidRPr="004D72D4" w:rsidRDefault="004D72D4" w:rsidP="004D72D4">
      <w:pPr>
        <w:numPr>
          <w:ilvl w:val="12"/>
          <w:numId w:val="0"/>
        </w:numPr>
        <w:autoSpaceDE w:val="0"/>
        <w:autoSpaceDN w:val="0"/>
        <w:adjustRightInd w:val="0"/>
        <w:jc w:val="right"/>
      </w:pPr>
      <w:r w:rsidRPr="004D72D4">
        <w:rPr>
          <w:rFonts w:cs="Times New Roman"/>
          <w:i/>
          <w:iCs/>
          <w:szCs w:val="24"/>
        </w:rPr>
        <w:t>Revised Mar. 2021</w:t>
      </w:r>
    </w:p>
    <w:sectPr w:rsidR="000242B3" w:rsidRPr="004D7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r>
        <w:separator/>
      </w:r>
    </w:p>
  </w:endnote>
  <w:endnote w:type="continuationSeparator" w:id="0">
    <w:p w14:paraId="075E2333" w14:textId="77777777" w:rsidR="00EE271E" w:rsidRDefault="00EE271E" w:rsidP="00E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r>
        <w:separator/>
      </w:r>
    </w:p>
  </w:footnote>
  <w:footnote w:type="continuationSeparator" w:id="0">
    <w:p w14:paraId="0CC9771D" w14:textId="77777777" w:rsidR="00EE271E" w:rsidRDefault="00EE271E" w:rsidP="00EE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177380"/>
    <w:rsid w:val="003B7297"/>
    <w:rsid w:val="00434D10"/>
    <w:rsid w:val="004A5939"/>
    <w:rsid w:val="004D1662"/>
    <w:rsid w:val="004D72D4"/>
    <w:rsid w:val="004F6D39"/>
    <w:rsid w:val="005A7428"/>
    <w:rsid w:val="00E648FB"/>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E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6579</Characters>
  <Application>Microsoft Office Word</Application>
  <DocSecurity>0</DocSecurity>
  <Lines>274</Lines>
  <Paragraphs>111</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2022-06-08T21:15:00Z</dcterms:created>
  <dcterms:modified xsi:type="dcterms:W3CDTF">2022-06-08T21:15:00Z</dcterms:modified>
</cp:coreProperties>
</file>