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9337E" w14:textId="311B4732" w:rsidR="00CC5A5F" w:rsidRPr="00CC5A5F" w:rsidRDefault="00CC5A5F" w:rsidP="00CC5A5F">
      <w:pPr>
        <w:autoSpaceDE w:val="0"/>
        <w:autoSpaceDN w:val="0"/>
        <w:adjustRightInd w:val="0"/>
        <w:spacing w:after="0" w:line="240" w:lineRule="auto"/>
        <w:jc w:val="center"/>
        <w:rPr>
          <w:rFonts w:ascii="Times New Roman" w:hAnsi="Times New Roman" w:cs="Times New Roman"/>
          <w:sz w:val="24"/>
          <w:szCs w:val="24"/>
        </w:rPr>
      </w:pPr>
      <w:r w:rsidRPr="00CC5A5F">
        <w:rPr>
          <w:rFonts w:ascii="Times New Roman" w:hAnsi="Times New Roman" w:cs="Times New Roman"/>
          <w:sz w:val="24"/>
          <w:szCs w:val="24"/>
          <w:lang w:val="en-CA"/>
        </w:rPr>
        <w:fldChar w:fldCharType="begin"/>
      </w:r>
      <w:r w:rsidRPr="00CC5A5F">
        <w:rPr>
          <w:rFonts w:ascii="Times New Roman" w:hAnsi="Times New Roman" w:cs="Times New Roman"/>
          <w:sz w:val="24"/>
          <w:szCs w:val="24"/>
          <w:lang w:val="en-CA"/>
        </w:rPr>
        <w:instrText xml:space="preserve"> SEQ CHAPTER \h \r 1</w:instrText>
      </w:r>
      <w:r w:rsidRPr="00CC5A5F">
        <w:rPr>
          <w:rFonts w:ascii="Times New Roman" w:hAnsi="Times New Roman" w:cs="Times New Roman"/>
          <w:sz w:val="24"/>
          <w:szCs w:val="24"/>
          <w:lang w:val="en-CA"/>
        </w:rPr>
        <w:fldChar w:fldCharType="end"/>
      </w:r>
      <w:r w:rsidR="001F6582" w:rsidRPr="00CC5A5F">
        <w:rPr>
          <w:rFonts w:ascii="Times New Roman" w:hAnsi="Times New Roman" w:cs="Times New Roman"/>
          <w:b/>
          <w:bCs/>
          <w:sz w:val="24"/>
          <w:szCs w:val="24"/>
        </w:rPr>
        <w:t>2.13 [</w:t>
      </w:r>
      <w:r w:rsidRPr="00CC5A5F">
        <w:rPr>
          <w:rFonts w:ascii="Times New Roman" w:hAnsi="Times New Roman" w:cs="Times New Roman"/>
          <w:b/>
          <w:bCs/>
          <w:sz w:val="24"/>
          <w:szCs w:val="24"/>
        </w:rPr>
        <w:t>Expert</w:t>
      </w:r>
      <w:r w:rsidR="000308D8">
        <w:rPr>
          <w:rFonts w:ascii="Times New Roman" w:hAnsi="Times New Roman" w:cs="Times New Roman"/>
          <w:b/>
          <w:bCs/>
          <w:sz w:val="24"/>
          <w:szCs w:val="24"/>
        </w:rPr>
        <w:t>]</w:t>
      </w:r>
      <w:r w:rsidRPr="00CC5A5F">
        <w:rPr>
          <w:rFonts w:ascii="Times New Roman" w:hAnsi="Times New Roman" w:cs="Times New Roman"/>
          <w:b/>
          <w:bCs/>
          <w:sz w:val="24"/>
          <w:szCs w:val="24"/>
        </w:rPr>
        <w:t xml:space="preserve"> Opinion</w:t>
      </w:r>
      <w:r w:rsidR="000308D8">
        <w:rPr>
          <w:rFonts w:ascii="Times New Roman" w:hAnsi="Times New Roman" w:cs="Times New Roman"/>
          <w:b/>
          <w:bCs/>
          <w:sz w:val="24"/>
          <w:szCs w:val="24"/>
        </w:rPr>
        <w:t xml:space="preserve"> Testimony</w:t>
      </w:r>
    </w:p>
    <w:p w14:paraId="02E952BA"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p>
    <w:p w14:paraId="4C17570D" w14:textId="1B3D002B"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t>You [have heard] [are about to hear] testimony from [</w:t>
      </w:r>
      <w:r w:rsidRPr="00CC5A5F">
        <w:rPr>
          <w:rFonts w:ascii="Times New Roman" w:hAnsi="Times New Roman" w:cs="Times New Roman"/>
          <w:i/>
          <w:iCs/>
          <w:sz w:val="24"/>
          <w:szCs w:val="24"/>
          <w:u w:val="single"/>
        </w:rPr>
        <w:t>name</w:t>
      </w:r>
      <w:r w:rsidRPr="00CC5A5F">
        <w:rPr>
          <w:rFonts w:ascii="Times New Roman" w:hAnsi="Times New Roman" w:cs="Times New Roman"/>
          <w:sz w:val="24"/>
          <w:szCs w:val="24"/>
        </w:rPr>
        <w:t xml:space="preserve">] who [testified] [will testify] </w:t>
      </w:r>
      <w:r>
        <w:rPr>
          <w:rFonts w:ascii="Times New Roman" w:hAnsi="Times New Roman" w:cs="Times New Roman"/>
          <w:sz w:val="24"/>
          <w:szCs w:val="24"/>
        </w:rPr>
        <w:t>about [his] [her]</w:t>
      </w:r>
      <w:r w:rsidRPr="00CC5A5F">
        <w:rPr>
          <w:rFonts w:ascii="Times New Roman" w:hAnsi="Times New Roman" w:cs="Times New Roman"/>
          <w:sz w:val="24"/>
          <w:szCs w:val="24"/>
        </w:rPr>
        <w:t xml:space="preserve">opinions and the reasons for </w:t>
      </w:r>
      <w:r>
        <w:rPr>
          <w:rFonts w:ascii="Times New Roman" w:hAnsi="Times New Roman" w:cs="Times New Roman"/>
          <w:sz w:val="24"/>
          <w:szCs w:val="24"/>
        </w:rPr>
        <w:t xml:space="preserve">those </w:t>
      </w:r>
      <w:r w:rsidRPr="00CC5A5F">
        <w:rPr>
          <w:rFonts w:ascii="Times New Roman" w:hAnsi="Times New Roman" w:cs="Times New Roman"/>
          <w:sz w:val="24"/>
          <w:szCs w:val="24"/>
        </w:rPr>
        <w:t xml:space="preserve">opinions. This opinion testimony is allowed, because of the </w:t>
      </w:r>
      <w:r w:rsidR="00F21AF0">
        <w:rPr>
          <w:rFonts w:ascii="Times New Roman" w:hAnsi="Times New Roman" w:cs="Times New Roman"/>
          <w:sz w:val="24"/>
          <w:szCs w:val="24"/>
        </w:rPr>
        <w:t xml:space="preserve">specialized </w:t>
      </w:r>
      <w:r>
        <w:rPr>
          <w:rFonts w:ascii="Times New Roman" w:eastAsia="Times New Roman" w:hAnsi="Times New Roman" w:cs="Times New Roman"/>
          <w:sz w:val="24"/>
          <w:szCs w:val="20"/>
        </w:rPr>
        <w:t>knowledge, skill, experience, training, or</w:t>
      </w:r>
      <w:r w:rsidRPr="00CC5A5F">
        <w:rPr>
          <w:rFonts w:ascii="Times New Roman" w:hAnsi="Times New Roman" w:cs="Times New Roman"/>
          <w:sz w:val="24"/>
          <w:szCs w:val="24"/>
        </w:rPr>
        <w:t xml:space="preserve"> education of this witness. </w:t>
      </w:r>
    </w:p>
    <w:p w14:paraId="36737161"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p>
    <w:p w14:paraId="4FD0D4E9" w14:textId="3805981D"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t xml:space="preserve">Such opinion testimony should be judged like any other testimony. You may accept it or reject it and give it as much weight as you think it deserves, considering the witness’s </w:t>
      </w:r>
      <w:r w:rsidR="00F21AF0">
        <w:rPr>
          <w:rFonts w:ascii="Times New Roman" w:hAnsi="Times New Roman" w:cs="Times New Roman"/>
          <w:sz w:val="24"/>
          <w:szCs w:val="24"/>
        </w:rPr>
        <w:t xml:space="preserve">specialized </w:t>
      </w:r>
      <w:r>
        <w:rPr>
          <w:rFonts w:ascii="Times New Roman" w:eastAsia="Times New Roman" w:hAnsi="Times New Roman" w:cs="Times New Roman"/>
          <w:sz w:val="24"/>
          <w:szCs w:val="20"/>
        </w:rPr>
        <w:t>knowledge, skill, experience, training, or</w:t>
      </w:r>
      <w:r w:rsidRPr="00CC5A5F">
        <w:rPr>
          <w:rFonts w:ascii="Times New Roman" w:hAnsi="Times New Roman" w:cs="Times New Roman"/>
          <w:sz w:val="24"/>
          <w:szCs w:val="24"/>
        </w:rPr>
        <w:t xml:space="preserve"> education, the reasons given for the opinion, and all the other evidence in the case.</w:t>
      </w:r>
      <w:r w:rsidRPr="00CC5A5F">
        <w:rPr>
          <w:rFonts w:ascii="Times New Roman" w:hAnsi="Times New Roman" w:cs="Times New Roman"/>
          <w:sz w:val="24"/>
          <w:szCs w:val="24"/>
        </w:rPr>
        <w:br/>
      </w:r>
      <w:r w:rsidRPr="00CC5A5F">
        <w:rPr>
          <w:rFonts w:ascii="Times New Roman" w:hAnsi="Times New Roman" w:cs="Times New Roman"/>
          <w:sz w:val="24"/>
          <w:szCs w:val="24"/>
        </w:rPr>
        <w:tab/>
      </w:r>
    </w:p>
    <w:p w14:paraId="1984C869" w14:textId="77777777" w:rsidR="00CC5A5F" w:rsidRPr="00CC5A5F" w:rsidRDefault="00CC5A5F" w:rsidP="00CC5A5F">
      <w:pPr>
        <w:autoSpaceDE w:val="0"/>
        <w:autoSpaceDN w:val="0"/>
        <w:adjustRightInd w:val="0"/>
        <w:spacing w:after="0" w:line="240" w:lineRule="auto"/>
        <w:jc w:val="center"/>
        <w:rPr>
          <w:rFonts w:ascii="Times New Roman" w:hAnsi="Times New Roman" w:cs="Times New Roman"/>
          <w:sz w:val="24"/>
          <w:szCs w:val="24"/>
        </w:rPr>
      </w:pPr>
      <w:r w:rsidRPr="00CC5A5F">
        <w:rPr>
          <w:rFonts w:ascii="Times New Roman" w:hAnsi="Times New Roman" w:cs="Times New Roman"/>
          <w:b/>
          <w:bCs/>
          <w:sz w:val="24"/>
          <w:szCs w:val="24"/>
        </w:rPr>
        <w:t>Comment</w:t>
      </w:r>
    </w:p>
    <w:p w14:paraId="16092EDA"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r>
    </w:p>
    <w:p w14:paraId="79571857"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r>
      <w:r w:rsidRPr="00CC5A5F">
        <w:rPr>
          <w:rFonts w:ascii="Times New Roman" w:hAnsi="Times New Roman" w:cs="Times New Roman"/>
          <w:i/>
          <w:iCs/>
          <w:sz w:val="24"/>
          <w:szCs w:val="24"/>
        </w:rPr>
        <w:t xml:space="preserve">See </w:t>
      </w:r>
      <w:r w:rsidRPr="00CC5A5F">
        <w:rPr>
          <w:rFonts w:ascii="Times New Roman" w:hAnsi="Times New Roman" w:cs="Times New Roman"/>
          <w:sz w:val="24"/>
          <w:szCs w:val="24"/>
        </w:rPr>
        <w:t>Fed. R. Evid. 702-05.</w:t>
      </w:r>
    </w:p>
    <w:p w14:paraId="1D4DB5D2"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p>
    <w:p w14:paraId="494508A3"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t>According to Federal Rule of Evidence 702, “[t]he purpose of expert testimony is to ‘assist the trier of fact to understand the evidence or to determine a fact in issue’ by providing opinions on ‘scientific, technical, or other specialized knowledge.</w:t>
      </w:r>
      <w:proofErr w:type="gramStart"/>
      <w:r w:rsidRPr="00CC5A5F">
        <w:rPr>
          <w:rFonts w:ascii="Times New Roman" w:hAnsi="Times New Roman" w:cs="Times New Roman"/>
          <w:sz w:val="24"/>
          <w:szCs w:val="24"/>
        </w:rPr>
        <w:t>’ ”</w:t>
      </w:r>
      <w:proofErr w:type="gramEnd"/>
      <w:r w:rsidRPr="00CC5A5F">
        <w:rPr>
          <w:rFonts w:ascii="Times New Roman" w:hAnsi="Times New Roman" w:cs="Times New Roman"/>
          <w:sz w:val="24"/>
          <w:szCs w:val="24"/>
        </w:rPr>
        <w:t xml:space="preserve">  </w:t>
      </w:r>
      <w:r w:rsidRPr="00CC5A5F">
        <w:rPr>
          <w:rFonts w:ascii="Times New Roman" w:hAnsi="Times New Roman" w:cs="Times New Roman"/>
          <w:i/>
          <w:iCs/>
          <w:sz w:val="24"/>
          <w:szCs w:val="24"/>
        </w:rPr>
        <w:t>Wagner v. County of Maricopa</w:t>
      </w:r>
      <w:r w:rsidRPr="00CC5A5F">
        <w:rPr>
          <w:rFonts w:ascii="Times New Roman" w:hAnsi="Times New Roman" w:cs="Times New Roman"/>
          <w:sz w:val="24"/>
          <w:szCs w:val="24"/>
        </w:rPr>
        <w:t xml:space="preserve">, 701 F.3d 583, 589 (9th Cir. 2012) (quoting Fed. R. Evid. 702).  Under Federal Rule of Evidence 703, an expert’s opinion must be based on facts or data in the case that the expert has been made aware of or personally observed.  Fed. R. Evid. 703.  The facts and data need not be admissible so long as experts in the particular field would reasonably rely on such facts and data.  </w:t>
      </w:r>
      <w:r w:rsidRPr="00CC5A5F">
        <w:rPr>
          <w:rFonts w:ascii="Times New Roman" w:hAnsi="Times New Roman" w:cs="Times New Roman"/>
          <w:i/>
          <w:iCs/>
          <w:sz w:val="24"/>
          <w:szCs w:val="24"/>
        </w:rPr>
        <w:t>Id</w:t>
      </w:r>
      <w:r w:rsidRPr="00CC5A5F">
        <w:rPr>
          <w:rFonts w:ascii="Times New Roman" w:hAnsi="Times New Roman" w:cs="Times New Roman"/>
          <w:sz w:val="24"/>
          <w:szCs w:val="24"/>
        </w:rPr>
        <w:t>.</w:t>
      </w:r>
    </w:p>
    <w:p w14:paraId="78693CC3"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p>
    <w:p w14:paraId="784D0617"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t>This instruction avoids labeling the witness as an “expert.” If the court refrains from</w:t>
      </w:r>
    </w:p>
    <w:p w14:paraId="3DEF86EF"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designating the witness as an “expert,” this will “</w:t>
      </w:r>
      <w:proofErr w:type="gramStart"/>
      <w:r w:rsidRPr="00CC5A5F">
        <w:rPr>
          <w:rFonts w:ascii="Times New Roman" w:hAnsi="Times New Roman" w:cs="Times New Roman"/>
          <w:sz w:val="24"/>
          <w:szCs w:val="24"/>
        </w:rPr>
        <w:t>ensure[</w:t>
      </w:r>
      <w:proofErr w:type="gramEnd"/>
      <w:r w:rsidRPr="00CC5A5F">
        <w:rPr>
          <w:rFonts w:ascii="Times New Roman" w:hAnsi="Times New Roman" w:cs="Times New Roman"/>
          <w:sz w:val="24"/>
          <w:szCs w:val="24"/>
        </w:rPr>
        <w:t>] that trial courts do not inadvertently</w:t>
      </w:r>
    </w:p>
    <w:p w14:paraId="29184BED"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put their stamp of authority” on a witness’s opinion and will protect against the jury’s being</w:t>
      </w:r>
    </w:p>
    <w:p w14:paraId="2425996B"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w:t>
      </w:r>
      <w:proofErr w:type="gramStart"/>
      <w:r w:rsidRPr="00CC5A5F">
        <w:rPr>
          <w:rFonts w:ascii="Times New Roman" w:hAnsi="Times New Roman" w:cs="Times New Roman"/>
          <w:sz w:val="24"/>
          <w:szCs w:val="24"/>
        </w:rPr>
        <w:t>overwhelmed</w:t>
      </w:r>
      <w:proofErr w:type="gramEnd"/>
      <w:r w:rsidRPr="00CC5A5F">
        <w:rPr>
          <w:rFonts w:ascii="Times New Roman" w:hAnsi="Times New Roman" w:cs="Times New Roman"/>
          <w:sz w:val="24"/>
          <w:szCs w:val="24"/>
        </w:rPr>
        <w:t xml:space="preserve"> by the so-called ‘experts.’” </w:t>
      </w:r>
      <w:r w:rsidRPr="00CC5A5F">
        <w:rPr>
          <w:rFonts w:ascii="Times New Roman" w:hAnsi="Times New Roman" w:cs="Times New Roman"/>
          <w:i/>
          <w:iCs/>
          <w:sz w:val="24"/>
          <w:szCs w:val="24"/>
        </w:rPr>
        <w:t>See</w:t>
      </w:r>
      <w:r w:rsidRPr="00CC5A5F">
        <w:rPr>
          <w:rFonts w:ascii="Times New Roman" w:hAnsi="Times New Roman" w:cs="Times New Roman"/>
          <w:sz w:val="24"/>
          <w:szCs w:val="24"/>
        </w:rPr>
        <w:t xml:space="preserve"> Fed. R. Evid. 702 advisory committee’s </w:t>
      </w:r>
      <w:proofErr w:type="gramStart"/>
      <w:r w:rsidRPr="00CC5A5F">
        <w:rPr>
          <w:rFonts w:ascii="Times New Roman" w:hAnsi="Times New Roman" w:cs="Times New Roman"/>
          <w:sz w:val="24"/>
          <w:szCs w:val="24"/>
        </w:rPr>
        <w:t>note</w:t>
      </w:r>
      <w:proofErr w:type="gramEnd"/>
    </w:p>
    <w:p w14:paraId="517B5AF0" w14:textId="77777777" w:rsidR="00CC5A5F" w:rsidRPr="00CC5A5F" w:rsidRDefault="00CC5A5F" w:rsidP="00CC5A5F">
      <w:pPr>
        <w:autoSpaceDE w:val="0"/>
        <w:autoSpaceDN w:val="0"/>
        <w:adjustRightInd w:val="0"/>
        <w:spacing w:after="0" w:line="240" w:lineRule="auto"/>
        <w:rPr>
          <w:rFonts w:ascii="Times New Roman" w:hAnsi="Times New Roman" w:cs="Times New Roman"/>
          <w:i/>
          <w:iCs/>
          <w:sz w:val="24"/>
          <w:szCs w:val="24"/>
        </w:rPr>
      </w:pPr>
      <w:r w:rsidRPr="00CC5A5F">
        <w:rPr>
          <w:rFonts w:ascii="Times New Roman" w:hAnsi="Times New Roman" w:cs="Times New Roman"/>
          <w:sz w:val="24"/>
          <w:szCs w:val="24"/>
        </w:rPr>
        <w:t xml:space="preserve">(2000) (quoting Hon. Charles Richey, </w:t>
      </w:r>
      <w:r w:rsidRPr="00CC5A5F">
        <w:rPr>
          <w:rFonts w:ascii="Times New Roman" w:hAnsi="Times New Roman" w:cs="Times New Roman"/>
          <w:i/>
          <w:iCs/>
          <w:sz w:val="24"/>
          <w:szCs w:val="24"/>
        </w:rPr>
        <w:t>Proposals to Eliminate the Prejudicial Effect of the Use of</w:t>
      </w:r>
    </w:p>
    <w:p w14:paraId="045C8474"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i/>
          <w:iCs/>
          <w:sz w:val="24"/>
          <w:szCs w:val="24"/>
        </w:rPr>
        <w:t>the Word “Expert” Under the Federal Rules of Evidence in Criminal and Civil Jury Trials</w:t>
      </w:r>
      <w:r w:rsidRPr="00CC5A5F">
        <w:rPr>
          <w:rFonts w:ascii="Times New Roman" w:hAnsi="Times New Roman" w:cs="Times New Roman"/>
          <w:sz w:val="24"/>
          <w:szCs w:val="24"/>
        </w:rPr>
        <w:t>, 154</w:t>
      </w:r>
    </w:p>
    <w:p w14:paraId="6C5212C1"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F.R.D. 537, 559 (1994).</w:t>
      </w:r>
    </w:p>
    <w:p w14:paraId="23A6744B" w14:textId="77777777" w:rsidR="00CC5A5F" w:rsidRPr="00CC5A5F" w:rsidRDefault="00CC5A5F" w:rsidP="00CC5A5F">
      <w:pPr>
        <w:autoSpaceDE w:val="0"/>
        <w:autoSpaceDN w:val="0"/>
        <w:adjustRightInd w:val="0"/>
        <w:spacing w:after="0" w:line="240" w:lineRule="auto"/>
        <w:rPr>
          <w:rFonts w:ascii="Times New Roman" w:hAnsi="Times New Roman" w:cs="Times New Roman"/>
          <w:sz w:val="24"/>
          <w:szCs w:val="24"/>
        </w:rPr>
      </w:pPr>
    </w:p>
    <w:p w14:paraId="28837461" w14:textId="5AF1EA00" w:rsidR="00FE7F82" w:rsidRPr="00CC5A5F" w:rsidRDefault="00CC5A5F" w:rsidP="00CC5A5F">
      <w:pPr>
        <w:autoSpaceDE w:val="0"/>
        <w:autoSpaceDN w:val="0"/>
        <w:adjustRightInd w:val="0"/>
        <w:spacing w:after="0" w:line="240" w:lineRule="auto"/>
        <w:rPr>
          <w:rFonts w:ascii="Times New Roman" w:hAnsi="Times New Roman" w:cs="Times New Roman"/>
          <w:sz w:val="24"/>
          <w:szCs w:val="24"/>
        </w:rPr>
      </w:pPr>
      <w:r w:rsidRPr="00CC5A5F">
        <w:rPr>
          <w:rFonts w:ascii="Times New Roman" w:hAnsi="Times New Roman" w:cs="Times New Roman"/>
          <w:sz w:val="24"/>
          <w:szCs w:val="24"/>
        </w:rPr>
        <w:tab/>
        <w:t>In addition, Fed. R. Evid. 703 (as amended in 2000) provides that facts or data that are the basis for an expert’s opinion but are otherwise inadmissible may nonetheless be disclosed to the jury if the court determines that their probative value in assisting the jury to evaluate the expert’s opinion substantially outweighs their prejudicial effect.</w:t>
      </w:r>
    </w:p>
    <w:p w14:paraId="73933F8A" w14:textId="77777777" w:rsidR="00CC5A5F" w:rsidRPr="000308D8" w:rsidRDefault="00CC5A5F" w:rsidP="000308D8">
      <w:pPr>
        <w:spacing w:after="0" w:line="240" w:lineRule="auto"/>
        <w:ind w:firstLine="720"/>
        <w:rPr>
          <w:rFonts w:ascii="Times New Roman" w:hAnsi="Times New Roman" w:cs="Times New Roman"/>
          <w:color w:val="000000" w:themeColor="text1"/>
          <w:sz w:val="24"/>
          <w:szCs w:val="24"/>
        </w:rPr>
      </w:pPr>
      <w:r w:rsidRPr="0055562D">
        <w:rPr>
          <w:rFonts w:ascii="Times New Roman" w:hAnsi="Times New Roman" w:cs="Times New Roman"/>
          <w:color w:val="000000" w:themeColor="text1"/>
          <w:sz w:val="24"/>
          <w:szCs w:val="24"/>
        </w:rPr>
        <w:t>This instruction is appropriate for a witness who provides only expert opinion testimony. If the same witness provides expert opinion testimony and percipient witness testimony (</w:t>
      </w:r>
      <w:r>
        <w:rPr>
          <w:rFonts w:ascii="Times New Roman" w:hAnsi="Times New Roman" w:cs="Times New Roman"/>
          <w:color w:val="000000" w:themeColor="text1"/>
          <w:sz w:val="24"/>
          <w:szCs w:val="24"/>
        </w:rPr>
        <w:t>whether fact testimony, lay opinion testimony, or both</w:t>
      </w:r>
      <w:r w:rsidRPr="0055562D">
        <w:rPr>
          <w:rFonts w:ascii="Times New Roman" w:hAnsi="Times New Roman" w:cs="Times New Roman"/>
          <w:color w:val="000000" w:themeColor="text1"/>
          <w:sz w:val="24"/>
          <w:szCs w:val="24"/>
        </w:rPr>
        <w:t xml:space="preserve">), these different roles </w:t>
      </w:r>
      <w:r>
        <w:rPr>
          <w:rFonts w:ascii="Times New Roman" w:hAnsi="Times New Roman" w:cs="Times New Roman"/>
          <w:color w:val="000000" w:themeColor="text1"/>
          <w:sz w:val="24"/>
          <w:szCs w:val="24"/>
        </w:rPr>
        <w:t xml:space="preserve">should </w:t>
      </w:r>
      <w:r w:rsidRPr="0055562D">
        <w:rPr>
          <w:rFonts w:ascii="Times New Roman" w:hAnsi="Times New Roman" w:cs="Times New Roman"/>
          <w:color w:val="000000" w:themeColor="text1"/>
          <w:sz w:val="24"/>
          <w:szCs w:val="24"/>
        </w:rPr>
        <w:t>be clarified for the jury</w:t>
      </w:r>
      <w:r>
        <w:rPr>
          <w:rFonts w:ascii="Times New Roman" w:hAnsi="Times New Roman" w:cs="Times New Roman"/>
          <w:color w:val="000000" w:themeColor="text1"/>
          <w:sz w:val="24"/>
          <w:szCs w:val="24"/>
        </w:rPr>
        <w:t>, even in a civil case</w:t>
      </w:r>
      <w:r w:rsidRPr="0055562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Model Criminal </w:t>
      </w:r>
      <w:r w:rsidRPr="0055562D">
        <w:rPr>
          <w:rFonts w:ascii="Times New Roman" w:hAnsi="Times New Roman" w:cs="Times New Roman"/>
          <w:color w:val="000000" w:themeColor="text1"/>
          <w:sz w:val="24"/>
          <w:szCs w:val="24"/>
        </w:rPr>
        <w:t>Instruction 3.15 (Dual Role Testimony)</w:t>
      </w:r>
      <w:r>
        <w:rPr>
          <w:rFonts w:ascii="Times New Roman" w:hAnsi="Times New Roman" w:cs="Times New Roman"/>
          <w:color w:val="000000" w:themeColor="text1"/>
          <w:sz w:val="24"/>
          <w:szCs w:val="24"/>
        </w:rPr>
        <w:t xml:space="preserve"> provides guidance</w:t>
      </w:r>
      <w:r w:rsidRPr="0055562D">
        <w:rPr>
          <w:rFonts w:ascii="Times New Roman" w:hAnsi="Times New Roman" w:cs="Times New Roman"/>
          <w:color w:val="000000" w:themeColor="text1"/>
          <w:sz w:val="24"/>
          <w:szCs w:val="24"/>
        </w:rPr>
        <w:t>.</w:t>
      </w:r>
    </w:p>
    <w:p w14:paraId="48E7A62C" w14:textId="77777777" w:rsidR="000308D8" w:rsidRDefault="000308D8" w:rsidP="000308D8">
      <w:pPr>
        <w:spacing w:after="0" w:line="240" w:lineRule="auto"/>
        <w:ind w:firstLine="720"/>
        <w:rPr>
          <w:rFonts w:ascii="Times New Roman" w:hAnsi="Times New Roman" w:cs="Times New Roman"/>
          <w:sz w:val="24"/>
          <w:szCs w:val="24"/>
          <w:u w:val="single"/>
        </w:rPr>
      </w:pPr>
    </w:p>
    <w:p w14:paraId="7408E240" w14:textId="46F89136" w:rsidR="000308D8" w:rsidRPr="00CD3104" w:rsidRDefault="000308D8" w:rsidP="000308D8">
      <w:pPr>
        <w:spacing w:after="0" w:line="240" w:lineRule="auto"/>
        <w:ind w:firstLine="720"/>
        <w:rPr>
          <w:rFonts w:ascii="Times New Roman" w:hAnsi="Times New Roman" w:cs="Times New Roman"/>
          <w:sz w:val="24"/>
          <w:szCs w:val="24"/>
        </w:rPr>
      </w:pPr>
      <w:r w:rsidRPr="00CD3104">
        <w:rPr>
          <w:rFonts w:ascii="Times New Roman" w:hAnsi="Times New Roman" w:cs="Times New Roman"/>
          <w:sz w:val="24"/>
          <w:szCs w:val="24"/>
        </w:rPr>
        <w:t xml:space="preserve">In </w:t>
      </w:r>
      <w:bookmarkStart w:id="0" w:name="_Hlk186449030"/>
      <w:proofErr w:type="spellStart"/>
      <w:r w:rsidRPr="00CD3104">
        <w:rPr>
          <w:rFonts w:ascii="Times New Roman" w:hAnsi="Times New Roman" w:cs="Times New Roman"/>
          <w:i/>
          <w:iCs/>
          <w:sz w:val="24"/>
          <w:szCs w:val="24"/>
        </w:rPr>
        <w:t>BillFloat</w:t>
      </w:r>
      <w:proofErr w:type="spellEnd"/>
      <w:r w:rsidRPr="00CD3104">
        <w:rPr>
          <w:rFonts w:ascii="Times New Roman" w:hAnsi="Times New Roman" w:cs="Times New Roman"/>
          <w:i/>
          <w:iCs/>
          <w:sz w:val="24"/>
          <w:szCs w:val="24"/>
        </w:rPr>
        <w:t xml:space="preserve"> Inc. v. Collins Cash Inc</w:t>
      </w:r>
      <w:r w:rsidRPr="00CD3104">
        <w:rPr>
          <w:rFonts w:ascii="Times New Roman" w:hAnsi="Times New Roman" w:cs="Times New Roman"/>
          <w:sz w:val="24"/>
          <w:szCs w:val="24"/>
        </w:rPr>
        <w:t xml:space="preserve">., 105 F.4th 1269, 1276-77 (9th Cir. 2024), </w:t>
      </w:r>
      <w:bookmarkEnd w:id="0"/>
      <w:r w:rsidRPr="00CD3104">
        <w:rPr>
          <w:rFonts w:ascii="Times New Roman" w:hAnsi="Times New Roman" w:cs="Times New Roman"/>
          <w:sz w:val="24"/>
          <w:szCs w:val="24"/>
        </w:rPr>
        <w:t>the</w:t>
      </w:r>
    </w:p>
    <w:p w14:paraId="13DCA7F0" w14:textId="77777777" w:rsidR="000308D8" w:rsidRPr="00CD3104" w:rsidRDefault="000308D8" w:rsidP="000308D8">
      <w:pPr>
        <w:spacing w:after="0" w:line="240" w:lineRule="auto"/>
        <w:rPr>
          <w:rFonts w:ascii="Times New Roman" w:hAnsi="Times New Roman" w:cs="Times New Roman"/>
          <w:sz w:val="24"/>
          <w:szCs w:val="24"/>
        </w:rPr>
      </w:pPr>
      <w:r w:rsidRPr="00CD3104">
        <w:rPr>
          <w:rFonts w:ascii="Times New Roman" w:hAnsi="Times New Roman" w:cs="Times New Roman"/>
          <w:sz w:val="24"/>
          <w:szCs w:val="24"/>
        </w:rPr>
        <w:t>plaintiff alleged trademark infringement. At trial, the plaintiff did not present survey evidence</w:t>
      </w:r>
    </w:p>
    <w:p w14:paraId="1323713D" w14:textId="77777777" w:rsidR="000308D8" w:rsidRPr="00CD3104" w:rsidRDefault="000308D8" w:rsidP="000308D8">
      <w:pPr>
        <w:spacing w:after="0" w:line="240" w:lineRule="auto"/>
        <w:rPr>
          <w:rFonts w:ascii="Times New Roman" w:hAnsi="Times New Roman" w:cs="Times New Roman"/>
          <w:sz w:val="24"/>
          <w:szCs w:val="24"/>
        </w:rPr>
      </w:pPr>
      <w:r w:rsidRPr="00CD3104">
        <w:rPr>
          <w:rFonts w:ascii="Times New Roman" w:hAnsi="Times New Roman" w:cs="Times New Roman"/>
          <w:sz w:val="24"/>
          <w:szCs w:val="24"/>
        </w:rPr>
        <w:t xml:space="preserve">showing consumer confusion but was not required to do so. The defendant, however, called an expert witness who had conducted a survey that purportedly showed an absence of consumer </w:t>
      </w:r>
      <w:r w:rsidRPr="00CD3104">
        <w:rPr>
          <w:rFonts w:ascii="Times New Roman" w:hAnsi="Times New Roman" w:cs="Times New Roman"/>
          <w:sz w:val="24"/>
          <w:szCs w:val="24"/>
        </w:rPr>
        <w:lastRenderedPageBreak/>
        <w:t>confusion. The plaintiff also called an expert witness, who simply challenged the opinions of the defendant’s expert. The Ninth Circuit held that the district court did not abuse its discretion by declining to instruct the jury that it “should not draw any inference about the existence or absence of consumer confusion from the fact that Plaintiff did not also offer market survey evidence,” explaining that a jury is free to “use its common sense and experience when weighing</w:t>
      </w:r>
    </w:p>
    <w:p w14:paraId="31E32483" w14:textId="453B1FDD" w:rsidR="00CC5A5F" w:rsidRDefault="000308D8" w:rsidP="00CD3104">
      <w:pPr>
        <w:spacing w:after="0" w:line="240" w:lineRule="auto"/>
      </w:pPr>
      <w:r w:rsidRPr="00CD3104">
        <w:rPr>
          <w:rFonts w:ascii="Times New Roman" w:hAnsi="Times New Roman" w:cs="Times New Roman"/>
          <w:sz w:val="24"/>
          <w:szCs w:val="24"/>
        </w:rPr>
        <w:t>the evidence offered by the parties, including the absence of a survey.”</w:t>
      </w:r>
    </w:p>
    <w:p w14:paraId="0CEDD370" w14:textId="77777777" w:rsidR="000308D8" w:rsidRDefault="000308D8"/>
    <w:p w14:paraId="492A4E01" w14:textId="4D5A5C22" w:rsidR="00CC5A5F" w:rsidRPr="00CC5A5F" w:rsidRDefault="00CC5A5F" w:rsidP="00CC5A5F">
      <w:pPr>
        <w:jc w:val="right"/>
        <w:rPr>
          <w:rFonts w:ascii="Times New Roman" w:hAnsi="Times New Roman" w:cs="Times New Roman"/>
          <w:i/>
          <w:iCs/>
          <w:sz w:val="24"/>
          <w:szCs w:val="24"/>
        </w:rPr>
      </w:pPr>
      <w:r w:rsidRPr="00CC5A5F">
        <w:rPr>
          <w:rFonts w:ascii="Times New Roman" w:hAnsi="Times New Roman" w:cs="Times New Roman"/>
          <w:i/>
          <w:iCs/>
          <w:sz w:val="24"/>
          <w:szCs w:val="24"/>
        </w:rPr>
        <w:t xml:space="preserve">Revised </w:t>
      </w:r>
      <w:r w:rsidR="000308D8">
        <w:rPr>
          <w:rFonts w:ascii="Times New Roman" w:hAnsi="Times New Roman" w:cs="Times New Roman"/>
          <w:i/>
          <w:iCs/>
          <w:sz w:val="24"/>
          <w:szCs w:val="24"/>
        </w:rPr>
        <w:t>November 2024</w:t>
      </w:r>
    </w:p>
    <w:sectPr w:rsidR="00CC5A5F" w:rsidRPr="00CC5A5F" w:rsidSect="00CC5A5F">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5F"/>
    <w:rsid w:val="000308D8"/>
    <w:rsid w:val="001F6582"/>
    <w:rsid w:val="00887257"/>
    <w:rsid w:val="00B951E2"/>
    <w:rsid w:val="00CC5A5F"/>
    <w:rsid w:val="00CD3104"/>
    <w:rsid w:val="00F21AF0"/>
    <w:rsid w:val="00F2425A"/>
    <w:rsid w:val="00F66CE6"/>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D7AF"/>
  <w15:chartTrackingRefBased/>
  <w15:docId w15:val="{8CE2DEDE-28F8-4EF2-B4F1-508F6889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C5A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5</cp:revision>
  <dcterms:created xsi:type="dcterms:W3CDTF">2023-04-19T21:01:00Z</dcterms:created>
  <dcterms:modified xsi:type="dcterms:W3CDTF">2025-01-07T22:28:00Z</dcterms:modified>
</cp:coreProperties>
</file>