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55C4" w14:textId="297CB7E1" w:rsidR="00AE0D3E" w:rsidRDefault="00B05527">
      <w:pPr>
        <w:pStyle w:val="Heading1"/>
        <w:spacing w:before="79"/>
        <w:ind w:left="1374"/>
      </w:pPr>
      <w:r>
        <w:t>7.12</w:t>
      </w:r>
      <w:r>
        <w:rPr>
          <w:spacing w:val="-9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Cure—Willful</w:t>
      </w:r>
      <w:r>
        <w:rPr>
          <w:spacing w:val="-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Arbitrary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Pay</w:t>
      </w:r>
    </w:p>
    <w:p w14:paraId="0DF755C5" w14:textId="77777777" w:rsidR="00AE0D3E" w:rsidRDefault="00AE0D3E">
      <w:pPr>
        <w:pStyle w:val="BodyText"/>
        <w:rPr>
          <w:b/>
        </w:rPr>
      </w:pPr>
    </w:p>
    <w:p w14:paraId="0DF755C6" w14:textId="77777777" w:rsidR="00AE0D3E" w:rsidRDefault="00B05527">
      <w:pPr>
        <w:pStyle w:val="BodyText"/>
        <w:ind w:left="100" w:firstLine="720"/>
      </w:pPr>
      <w:r>
        <w:t>The plaintiff also contends the defendant willfully and arbitrarily failed to pay [maintenance]</w:t>
      </w:r>
      <w:r>
        <w:rPr>
          <w:spacing w:val="-4"/>
        </w:rPr>
        <w:t xml:space="preserve"> </w:t>
      </w:r>
      <w:r>
        <w:t>[and]</w:t>
      </w:r>
      <w:r>
        <w:rPr>
          <w:spacing w:val="-4"/>
        </w:rPr>
        <w:t xml:space="preserve"> </w:t>
      </w:r>
      <w:r>
        <w:t>[cure]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due.</w:t>
      </w:r>
      <w:r>
        <w:rPr>
          <w:spacing w:val="4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issue,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plaintiff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following elements by a preponderance of the evidence:</w:t>
      </w:r>
    </w:p>
    <w:p w14:paraId="0DF755C7" w14:textId="77777777" w:rsidR="00AE0D3E" w:rsidRDefault="00AE0D3E">
      <w:pPr>
        <w:pStyle w:val="BodyText"/>
      </w:pPr>
    </w:p>
    <w:p w14:paraId="0DF755C8" w14:textId="0F0F0A8F" w:rsidR="00AE0D3E" w:rsidRDefault="00B05527" w:rsidP="00D75B5D">
      <w:pPr>
        <w:pStyle w:val="ListParagraph"/>
        <w:tabs>
          <w:tab w:val="left" w:pos="1539"/>
        </w:tabs>
        <w:ind w:left="1539" w:firstLine="0"/>
        <w:rPr>
          <w:sz w:val="24"/>
        </w:rPr>
      </w:pPr>
      <w:r w:rsidRPr="00D75B5D">
        <w:rPr>
          <w:sz w:val="24"/>
        </w:rPr>
        <w:t>First,</w:t>
      </w:r>
      <w:r>
        <w:rPr>
          <w:color w:val="0078D3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plaintiff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[maintenance]</w:t>
      </w:r>
      <w:r>
        <w:rPr>
          <w:spacing w:val="-2"/>
          <w:sz w:val="24"/>
        </w:rPr>
        <w:t xml:space="preserve"> </w:t>
      </w:r>
      <w:r>
        <w:rPr>
          <w:sz w:val="24"/>
        </w:rPr>
        <w:t>[and]</w:t>
      </w:r>
      <w:r>
        <w:rPr>
          <w:spacing w:val="-2"/>
          <w:sz w:val="24"/>
        </w:rPr>
        <w:t xml:space="preserve"> [cure];</w:t>
      </w:r>
    </w:p>
    <w:p w14:paraId="0DF755C9" w14:textId="77777777" w:rsidR="00AE0D3E" w:rsidRDefault="00AE0D3E">
      <w:pPr>
        <w:pStyle w:val="BodyText"/>
      </w:pPr>
    </w:p>
    <w:p w14:paraId="0DF755CA" w14:textId="5E4DA887" w:rsidR="00AE0D3E" w:rsidRDefault="00B05527" w:rsidP="00D75B5D">
      <w:pPr>
        <w:pStyle w:val="ListParagraph"/>
        <w:tabs>
          <w:tab w:val="left" w:pos="1540"/>
        </w:tabs>
        <w:ind w:right="460" w:firstLine="0"/>
        <w:rPr>
          <w:sz w:val="24"/>
        </w:rPr>
      </w:pPr>
      <w:r w:rsidRPr="00D75B5D">
        <w:rPr>
          <w:sz w:val="24"/>
        </w:rPr>
        <w:t>Second,</w:t>
      </w:r>
      <w:r>
        <w:rPr>
          <w:color w:val="0078D3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defendant</w:t>
      </w:r>
      <w:r>
        <w:rPr>
          <w:spacing w:val="-4"/>
          <w:sz w:val="24"/>
        </w:rPr>
        <w:t xml:space="preserve"> </w:t>
      </w:r>
      <w:r>
        <w:rPr>
          <w:sz w:val="24"/>
        </w:rPr>
        <w:t>willfully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arbitrarily</w:t>
      </w:r>
      <w:r>
        <w:rPr>
          <w:spacing w:val="-4"/>
          <w:sz w:val="24"/>
        </w:rPr>
        <w:t xml:space="preserve"> </w:t>
      </w:r>
      <w:r>
        <w:rPr>
          <w:sz w:val="24"/>
        </w:rPr>
        <w:t>failed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[maintenance] [and] [cure]; and</w:t>
      </w:r>
    </w:p>
    <w:p w14:paraId="0DF755CB" w14:textId="77777777" w:rsidR="00AE0D3E" w:rsidRDefault="00AE0D3E">
      <w:pPr>
        <w:pStyle w:val="BodyText"/>
      </w:pPr>
    </w:p>
    <w:p w14:paraId="0DF755CC" w14:textId="18AD0A72" w:rsidR="00AE0D3E" w:rsidRDefault="00B05527" w:rsidP="00D75B5D">
      <w:pPr>
        <w:pStyle w:val="ListParagraph"/>
        <w:tabs>
          <w:tab w:val="left" w:pos="1540"/>
        </w:tabs>
        <w:ind w:right="439" w:firstLine="0"/>
        <w:rPr>
          <w:sz w:val="24"/>
        </w:rPr>
      </w:pPr>
      <w:r w:rsidRPr="00D75B5D">
        <w:rPr>
          <w:sz w:val="24"/>
        </w:rPr>
        <w:t>Third,</w:t>
      </w:r>
      <w:r>
        <w:rPr>
          <w:color w:val="0078D3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defendant’s</w:t>
      </w:r>
      <w:r>
        <w:rPr>
          <w:spacing w:val="-5"/>
          <w:sz w:val="24"/>
        </w:rPr>
        <w:t xml:space="preserve"> </w:t>
      </w:r>
      <w:r>
        <w:rPr>
          <w:sz w:val="24"/>
        </w:rPr>
        <w:t>failure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[maintenance]</w:t>
      </w:r>
      <w:r>
        <w:rPr>
          <w:spacing w:val="-6"/>
          <w:sz w:val="24"/>
        </w:rPr>
        <w:t xml:space="preserve"> </w:t>
      </w:r>
      <w:r>
        <w:rPr>
          <w:sz w:val="24"/>
        </w:rPr>
        <w:t>[and]</w:t>
      </w:r>
      <w:r>
        <w:rPr>
          <w:spacing w:val="-6"/>
          <w:sz w:val="24"/>
        </w:rPr>
        <w:t xml:space="preserve"> </w:t>
      </w:r>
      <w:r>
        <w:rPr>
          <w:sz w:val="24"/>
        </w:rPr>
        <w:t>[cure]</w:t>
      </w:r>
      <w:r>
        <w:rPr>
          <w:spacing w:val="-6"/>
          <w:sz w:val="24"/>
        </w:rPr>
        <w:t xml:space="preserve"> </w:t>
      </w:r>
      <w:r>
        <w:rPr>
          <w:sz w:val="24"/>
        </w:rPr>
        <w:t>resulted</w:t>
      </w:r>
      <w:r>
        <w:rPr>
          <w:spacing w:val="-3"/>
          <w:sz w:val="24"/>
        </w:rPr>
        <w:t xml:space="preserve"> </w:t>
      </w:r>
      <w:r>
        <w:rPr>
          <w:sz w:val="24"/>
        </w:rPr>
        <w:t>in injury to the plaintiff.</w:t>
      </w:r>
    </w:p>
    <w:p w14:paraId="0DF755CD" w14:textId="77777777" w:rsidR="00AE0D3E" w:rsidRDefault="00AE0D3E">
      <w:pPr>
        <w:pStyle w:val="BodyText"/>
      </w:pPr>
    </w:p>
    <w:p w14:paraId="0DF755CE" w14:textId="77777777" w:rsidR="00AE0D3E" w:rsidRDefault="00B05527">
      <w:pPr>
        <w:pStyle w:val="BodyText"/>
        <w:ind w:left="100" w:right="109" w:firstLine="720"/>
      </w:pPr>
      <w:r>
        <w:t>If you find the plaintiff has proved each of the elements on which [he] [she] has the burden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proof,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“yes”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verdict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indicated;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 xml:space="preserve">answer </w:t>
      </w:r>
      <w:r>
        <w:rPr>
          <w:spacing w:val="-2"/>
        </w:rPr>
        <w:t>“no.”</w:t>
      </w:r>
    </w:p>
    <w:p w14:paraId="0DF755CF" w14:textId="77777777" w:rsidR="00AE0D3E" w:rsidRDefault="00AE0D3E">
      <w:pPr>
        <w:pStyle w:val="BodyText"/>
      </w:pPr>
    </w:p>
    <w:p w14:paraId="0DF755D0" w14:textId="77777777" w:rsidR="00AE0D3E" w:rsidRPr="0022731B" w:rsidRDefault="00B05527" w:rsidP="0022731B">
      <w:pPr>
        <w:jc w:val="center"/>
        <w:rPr>
          <w:b/>
          <w:bCs/>
          <w:sz w:val="24"/>
          <w:szCs w:val="24"/>
        </w:rPr>
      </w:pPr>
      <w:r w:rsidRPr="0022731B">
        <w:rPr>
          <w:b/>
          <w:bCs/>
          <w:sz w:val="24"/>
          <w:szCs w:val="24"/>
        </w:rPr>
        <w:t>Comment</w:t>
      </w:r>
    </w:p>
    <w:p w14:paraId="0DF755D1" w14:textId="77777777" w:rsidR="00AE0D3E" w:rsidRDefault="00AE0D3E">
      <w:pPr>
        <w:pStyle w:val="BodyText"/>
        <w:rPr>
          <w:b/>
        </w:rPr>
      </w:pPr>
    </w:p>
    <w:p w14:paraId="0DF755D2" w14:textId="30A6EC0F" w:rsidR="00AE0D3E" w:rsidRDefault="00B05527">
      <w:pPr>
        <w:pStyle w:val="BodyText"/>
        <w:ind w:left="100" w:firstLine="720"/>
        <w:rPr>
          <w:color w:val="0078D3"/>
        </w:rPr>
      </w:pPr>
      <w:r>
        <w:t>If the jury finds that the defendant willfully and arbitrarily failed to pay maintenance or cure, the plaintiff will be entitled to reasonable attorneys’</w:t>
      </w:r>
      <w:r>
        <w:rPr>
          <w:spacing w:val="-12"/>
        </w:rPr>
        <w:t xml:space="preserve"> </w:t>
      </w:r>
      <w:r>
        <w:t>fees as determined by the court.</w:t>
      </w:r>
      <w:r>
        <w:rPr>
          <w:spacing w:val="40"/>
        </w:rPr>
        <w:t xml:space="preserve"> </w:t>
      </w:r>
      <w:r>
        <w:t>A special</w:t>
      </w:r>
      <w:r>
        <w:rPr>
          <w:spacing w:val="-5"/>
        </w:rPr>
        <w:t xml:space="preserve"> </w:t>
      </w:r>
      <w:r>
        <w:t>interrogatory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rPr>
          <w:i/>
        </w:rPr>
        <w:t>See</w:t>
      </w:r>
      <w:r>
        <w:rPr>
          <w:i/>
          <w:spacing w:val="-6"/>
        </w:rPr>
        <w:t xml:space="preserve"> </w:t>
      </w:r>
      <w:r>
        <w:rPr>
          <w:i/>
        </w:rPr>
        <w:t>Kopczynski</w:t>
      </w:r>
      <w:r>
        <w:rPr>
          <w:i/>
          <w:spacing w:val="-5"/>
        </w:rPr>
        <w:t xml:space="preserve"> </w:t>
      </w:r>
      <w:r>
        <w:rPr>
          <w:i/>
        </w:rPr>
        <w:t>v.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Jacqueline,</w:t>
      </w:r>
      <w:r>
        <w:rPr>
          <w:i/>
          <w:spacing w:val="-5"/>
        </w:rPr>
        <w:t xml:space="preserve"> </w:t>
      </w:r>
      <w:r>
        <w:t>742</w:t>
      </w:r>
      <w:r>
        <w:rPr>
          <w:spacing w:val="-5"/>
        </w:rPr>
        <w:t xml:space="preserve"> </w:t>
      </w:r>
      <w:r>
        <w:t>F.2d</w:t>
      </w:r>
      <w:r>
        <w:rPr>
          <w:spacing w:val="-5"/>
        </w:rPr>
        <w:t xml:space="preserve"> </w:t>
      </w:r>
      <w:r>
        <w:t>555,</w:t>
      </w:r>
      <w:r>
        <w:rPr>
          <w:spacing w:val="-5"/>
        </w:rPr>
        <w:t xml:space="preserve"> </w:t>
      </w:r>
      <w:r>
        <w:t>559</w:t>
      </w:r>
      <w:r>
        <w:rPr>
          <w:spacing w:val="-5"/>
        </w:rPr>
        <w:t xml:space="preserve"> </w:t>
      </w:r>
      <w:r>
        <w:t>(9th Cir. 1984) (leaving undisturbed jury’s finding on special interrogatory that defendant’s conduct was not “willful and arbitrary,” and holding that plaintiff therefore was not entitled to recover attorneys’</w:t>
      </w:r>
      <w:r>
        <w:rPr>
          <w:spacing w:val="-17"/>
        </w:rPr>
        <w:t xml:space="preserve"> </w:t>
      </w:r>
      <w:r>
        <w:t>fees)</w:t>
      </w:r>
      <w:r w:rsidR="00DC369F">
        <w:t>.</w:t>
      </w:r>
    </w:p>
    <w:p w14:paraId="2CC1F756" w14:textId="77777777" w:rsidR="0022731B" w:rsidRDefault="0022731B">
      <w:pPr>
        <w:pStyle w:val="BodyText"/>
        <w:ind w:left="100" w:firstLine="720"/>
        <w:rPr>
          <w:color w:val="0078D3"/>
        </w:rPr>
      </w:pPr>
    </w:p>
    <w:p w14:paraId="653A7984" w14:textId="77777777" w:rsidR="0022731B" w:rsidRDefault="0022731B">
      <w:pPr>
        <w:pStyle w:val="BodyText"/>
        <w:ind w:left="100" w:firstLine="720"/>
        <w:rPr>
          <w:color w:val="0078D3"/>
        </w:rPr>
      </w:pPr>
    </w:p>
    <w:p w14:paraId="16316763" w14:textId="77777777" w:rsidR="001D679F" w:rsidRPr="001D679F" w:rsidRDefault="001D679F" w:rsidP="00B05527">
      <w:pPr>
        <w:pStyle w:val="BodyText"/>
        <w:ind w:left="100" w:firstLine="720"/>
        <w:jc w:val="right"/>
        <w:rPr>
          <w:i/>
          <w:iCs/>
        </w:rPr>
      </w:pPr>
      <w:r w:rsidRPr="001D679F">
        <w:rPr>
          <w:i/>
          <w:iCs/>
        </w:rPr>
        <w:t>Revised March 2025</w:t>
      </w:r>
    </w:p>
    <w:p w14:paraId="3DE43BFE" w14:textId="77777777" w:rsidR="0022731B" w:rsidRDefault="0022731B">
      <w:pPr>
        <w:pStyle w:val="BodyText"/>
        <w:ind w:left="100" w:firstLine="720"/>
      </w:pPr>
    </w:p>
    <w:sectPr w:rsidR="0022731B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132DD"/>
    <w:multiLevelType w:val="hybridMultilevel"/>
    <w:tmpl w:val="EB1AED0C"/>
    <w:lvl w:ilvl="0" w:tplc="9F7A945E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8D3"/>
        <w:spacing w:val="0"/>
        <w:w w:val="100"/>
        <w:sz w:val="24"/>
        <w:szCs w:val="24"/>
        <w:lang w:val="en-US" w:eastAsia="en-US" w:bidi="ar-SA"/>
      </w:rPr>
    </w:lvl>
    <w:lvl w:ilvl="1" w:tplc="79FC5598"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 w:tplc="4228628A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 w:tplc="E3F4A25E"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 w:tplc="742088CE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E94EFCC6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6" w:tplc="D0643666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 w:tplc="54A4A8FC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 w:tplc="34AC2DE6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</w:abstractNum>
  <w:num w:numId="1" w16cid:durableId="164970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D3E"/>
    <w:rsid w:val="001D679F"/>
    <w:rsid w:val="0022731B"/>
    <w:rsid w:val="00576448"/>
    <w:rsid w:val="00606A14"/>
    <w:rsid w:val="00AE0D3E"/>
    <w:rsid w:val="00B05527"/>
    <w:rsid w:val="00C0497B"/>
    <w:rsid w:val="00D75B5D"/>
    <w:rsid w:val="00D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55C4"/>
  <w15:docId w15:val="{5BF1A5EA-ADC3-4E98-AE06-AC60FD10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D679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United States Courts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6</cp:revision>
  <dcterms:created xsi:type="dcterms:W3CDTF">2025-04-23T21:21:00Z</dcterms:created>
  <dcterms:modified xsi:type="dcterms:W3CDTF">2025-04-24T20:33:00Z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