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1607A" w14:textId="6732717C" w:rsidR="007F1C08" w:rsidRDefault="00E952D4">
      <w:pPr>
        <w:pStyle w:val="Heading1"/>
        <w:spacing w:before="79"/>
        <w:ind w:left="3861"/>
      </w:pPr>
      <w:r>
        <w:t>7.1</w:t>
      </w:r>
      <w:r>
        <w:rPr>
          <w:spacing w:val="-2"/>
        </w:rPr>
        <w:t xml:space="preserve"> </w:t>
      </w:r>
      <w:r>
        <w:t>Seaman</w:t>
      </w:r>
      <w:r>
        <w:rPr>
          <w:spacing w:val="-1"/>
        </w:rPr>
        <w:t xml:space="preserve"> </w:t>
      </w:r>
      <w:r>
        <w:rPr>
          <w:spacing w:val="-2"/>
        </w:rPr>
        <w:t>Status</w:t>
      </w:r>
    </w:p>
    <w:p w14:paraId="7D21607B" w14:textId="77777777" w:rsidR="007F1C08" w:rsidRDefault="007F1C08">
      <w:pPr>
        <w:pStyle w:val="BodyText"/>
        <w:rPr>
          <w:b/>
        </w:rPr>
      </w:pPr>
    </w:p>
    <w:p w14:paraId="7D21607C" w14:textId="77777777" w:rsidR="007F1C08" w:rsidRDefault="00E952D4">
      <w:pPr>
        <w:pStyle w:val="BodyText"/>
        <w:ind w:left="120" w:right="182" w:firstLine="720"/>
      </w:pPr>
      <w:r>
        <w:t>The plaintiff seeks recovery against the defendant under the Jones</w:t>
      </w:r>
      <w:r>
        <w:rPr>
          <w:spacing w:val="-3"/>
        </w:rPr>
        <w:t xml:space="preserve"> </w:t>
      </w:r>
      <w:r>
        <w:t>Act for negligence. [[He] [She] also seeks recovery under [general maritime law for unseaworthiness] [and] [maintenance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cure].]</w:t>
      </w:r>
      <w:r>
        <w:rPr>
          <w:spacing w:val="40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“seaman”</w:t>
      </w:r>
      <w:r>
        <w:rPr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bring</w:t>
      </w:r>
      <w:r>
        <w:rPr>
          <w:spacing w:val="-3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claims.</w:t>
      </w:r>
      <w:r>
        <w:rPr>
          <w:spacing w:val="4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parties</w:t>
      </w:r>
      <w:r>
        <w:rPr>
          <w:spacing w:val="-3"/>
        </w:rPr>
        <w:t xml:space="preserve"> </w:t>
      </w:r>
      <w:r>
        <w:t>dispute</w:t>
      </w:r>
      <w:r>
        <w:rPr>
          <w:spacing w:val="-4"/>
        </w:rPr>
        <w:t xml:space="preserve"> </w:t>
      </w:r>
      <w:r>
        <w:t>whether or not the plaintiff was employed as a seaman.</w:t>
      </w:r>
    </w:p>
    <w:p w14:paraId="7D21607D" w14:textId="77777777" w:rsidR="007F1C08" w:rsidRDefault="007F1C08">
      <w:pPr>
        <w:pStyle w:val="BodyText"/>
      </w:pPr>
    </w:p>
    <w:p w14:paraId="7D21607E" w14:textId="77777777" w:rsidR="007F1C08" w:rsidRDefault="00E952D4">
      <w:pPr>
        <w:pStyle w:val="BodyText"/>
        <w:ind w:left="120" w:right="182" w:firstLine="720"/>
      </w:pPr>
      <w:r>
        <w:t>The</w:t>
      </w:r>
      <w:r>
        <w:rPr>
          <w:spacing w:val="-6"/>
        </w:rPr>
        <w:t xml:space="preserve"> </w:t>
      </w:r>
      <w:r>
        <w:t>plaintiff</w:t>
      </w:r>
      <w:r>
        <w:rPr>
          <w:spacing w:val="-6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prove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[he]</w:t>
      </w:r>
      <w:r>
        <w:rPr>
          <w:spacing w:val="-6"/>
        </w:rPr>
        <w:t xml:space="preserve"> </w:t>
      </w:r>
      <w:r>
        <w:t>[she]</w:t>
      </w:r>
      <w:r>
        <w:rPr>
          <w:spacing w:val="-6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“seaman”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order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recover.</w:t>
      </w:r>
      <w:r>
        <w:rPr>
          <w:spacing w:val="40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 xml:space="preserve">prove seaman status, the plaintiff must prove the following elements by a preponderance of the </w:t>
      </w:r>
      <w:r>
        <w:rPr>
          <w:spacing w:val="-2"/>
        </w:rPr>
        <w:t>evidence:</w:t>
      </w:r>
    </w:p>
    <w:p w14:paraId="7D21607F" w14:textId="77777777" w:rsidR="007F1C08" w:rsidRDefault="007F1C08">
      <w:pPr>
        <w:pStyle w:val="BodyText"/>
      </w:pPr>
    </w:p>
    <w:p w14:paraId="7D216080" w14:textId="23A2571C" w:rsidR="007F1C08" w:rsidRDefault="00E952D4">
      <w:pPr>
        <w:pStyle w:val="BodyText"/>
        <w:tabs>
          <w:tab w:val="left" w:pos="2279"/>
        </w:tabs>
        <w:ind w:left="1560" w:right="325" w:hanging="720"/>
      </w:pPr>
      <w:r w:rsidRPr="00723412">
        <w:t>First,</w:t>
      </w:r>
      <w:r w:rsidR="00723412" w:rsidRPr="00723412">
        <w:t xml:space="preserve"> </w:t>
      </w:r>
      <w:r w:rsidRPr="00723412">
        <w:t xml:space="preserve">the </w:t>
      </w:r>
      <w:r>
        <w:t>plaintiff contributed to the mission or operation of [a vessel] [an identifiable</w:t>
      </w:r>
      <w:r>
        <w:rPr>
          <w:spacing w:val="-4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vessels]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navigation,</w:t>
      </w:r>
      <w:r>
        <w:rPr>
          <w:spacing w:val="-4"/>
        </w:rPr>
        <w:t xml:space="preserve"> </w:t>
      </w:r>
      <w:r>
        <w:t>whether</w:t>
      </w:r>
      <w:r>
        <w:rPr>
          <w:spacing w:val="-4"/>
        </w:rPr>
        <w:t xml:space="preserve"> </w:t>
      </w:r>
      <w:r>
        <w:t>underway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anchor;</w:t>
      </w:r>
      <w:r>
        <w:rPr>
          <w:spacing w:val="-4"/>
        </w:rPr>
        <w:t xml:space="preserve"> </w:t>
      </w:r>
      <w:r>
        <w:t>and</w:t>
      </w:r>
    </w:p>
    <w:p w14:paraId="7D216081" w14:textId="77777777" w:rsidR="007F1C08" w:rsidRDefault="007F1C08">
      <w:pPr>
        <w:pStyle w:val="BodyText"/>
      </w:pPr>
    </w:p>
    <w:p w14:paraId="7D216082" w14:textId="3812D5D7" w:rsidR="007F1C08" w:rsidRDefault="00E952D4">
      <w:pPr>
        <w:pStyle w:val="BodyText"/>
        <w:ind w:left="1560" w:right="433" w:hanging="720"/>
        <w:jc w:val="both"/>
      </w:pPr>
      <w:r w:rsidRPr="00723412">
        <w:t>Second,</w:t>
      </w:r>
      <w:r w:rsidR="00723412">
        <w:rPr>
          <w:color w:val="0078D3"/>
        </w:rPr>
        <w:t xml:space="preserve"> </w:t>
      </w:r>
      <w:r w:rsidRPr="00723412">
        <w:t>the plaintiff</w:t>
      </w:r>
      <w:r>
        <w:t xml:space="preserve"> had an employment-related connection to [the vessel] [an identifiable</w:t>
      </w:r>
      <w:r>
        <w:rPr>
          <w:spacing w:val="-4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vessels]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substantial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terms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both</w:t>
      </w:r>
      <w:r>
        <w:rPr>
          <w:spacing w:val="-4"/>
        </w:rPr>
        <w:t xml:space="preserve"> </w:t>
      </w:r>
      <w:r>
        <w:t>duration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2"/>
        </w:rPr>
        <w:t>nature.</w:t>
      </w:r>
    </w:p>
    <w:p w14:paraId="7D216083" w14:textId="77777777" w:rsidR="007F1C08" w:rsidRDefault="007F1C08">
      <w:pPr>
        <w:pStyle w:val="BodyText"/>
      </w:pPr>
    </w:p>
    <w:p w14:paraId="7D216084" w14:textId="77777777" w:rsidR="007F1C08" w:rsidRDefault="00E952D4">
      <w:pPr>
        <w:pStyle w:val="BodyText"/>
        <w:ind w:left="120" w:right="272" w:firstLine="720"/>
        <w:jc w:val="both"/>
      </w:pPr>
      <w:r>
        <w:t>The</w:t>
      </w:r>
      <w:r>
        <w:rPr>
          <w:spacing w:val="-4"/>
        </w:rPr>
        <w:t xml:space="preserve"> </w:t>
      </w:r>
      <w:r>
        <w:t>phrase</w:t>
      </w:r>
      <w:r>
        <w:rPr>
          <w:spacing w:val="-2"/>
        </w:rPr>
        <w:t xml:space="preserve"> </w:t>
      </w:r>
      <w:r>
        <w:t>“vessel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navigation”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limited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traditional</w:t>
      </w:r>
      <w:r>
        <w:rPr>
          <w:spacing w:val="-3"/>
        </w:rPr>
        <w:t xml:space="preserve"> </w:t>
      </w:r>
      <w:r>
        <w:t>ships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boats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includes every type of watercraft or artificial contrivance used, or practically capable of being used, as a means of transportation on water.</w:t>
      </w:r>
    </w:p>
    <w:p w14:paraId="7D216085" w14:textId="77777777" w:rsidR="007F1C08" w:rsidRDefault="007F1C08">
      <w:pPr>
        <w:pStyle w:val="BodyText"/>
      </w:pPr>
    </w:p>
    <w:p w14:paraId="7D216086" w14:textId="77777777" w:rsidR="007F1C08" w:rsidRDefault="00E952D4">
      <w:pPr>
        <w:pStyle w:val="BodyText"/>
        <w:ind w:left="120" w:right="308" w:firstLine="720"/>
        <w:jc w:val="both"/>
      </w:pPr>
      <w:r>
        <w:t>The</w:t>
      </w:r>
      <w:r>
        <w:rPr>
          <w:spacing w:val="-5"/>
        </w:rPr>
        <w:t xml:space="preserve"> </w:t>
      </w:r>
      <w:r>
        <w:t>phrase</w:t>
      </w:r>
      <w:r>
        <w:rPr>
          <w:spacing w:val="-3"/>
        </w:rPr>
        <w:t xml:space="preserve"> </w:t>
      </w:r>
      <w:r>
        <w:t>“substantial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duration”</w:t>
      </w:r>
      <w:r>
        <w:rPr>
          <w:spacing w:val="-5"/>
        </w:rPr>
        <w:t xml:space="preserve"> </w:t>
      </w:r>
      <w:r>
        <w:t>means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plaintiff’s</w:t>
      </w:r>
      <w:r>
        <w:rPr>
          <w:spacing w:val="-4"/>
        </w:rPr>
        <w:t xml:space="preserve"> </w:t>
      </w:r>
      <w:r>
        <w:t>connection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[the</w:t>
      </w:r>
      <w:r>
        <w:rPr>
          <w:spacing w:val="-5"/>
        </w:rPr>
        <w:t xml:space="preserve"> </w:t>
      </w:r>
      <w:r>
        <w:t>vessel] [an identifiable group of vessels] must be more than merely sporadic, temporary, or incidental.</w:t>
      </w:r>
    </w:p>
    <w:p w14:paraId="7D216087" w14:textId="77777777" w:rsidR="007F1C08" w:rsidRDefault="007F1C08">
      <w:pPr>
        <w:pStyle w:val="BodyText"/>
      </w:pPr>
    </w:p>
    <w:p w14:paraId="7D216088" w14:textId="77777777" w:rsidR="007F1C08" w:rsidRDefault="00E952D4">
      <w:pPr>
        <w:pStyle w:val="BodyText"/>
        <w:ind w:left="120" w:right="288" w:firstLine="720"/>
        <w:jc w:val="both"/>
      </w:pPr>
      <w:r>
        <w:t>The</w:t>
      </w:r>
      <w:r>
        <w:rPr>
          <w:spacing w:val="-4"/>
        </w:rPr>
        <w:t xml:space="preserve"> </w:t>
      </w:r>
      <w:r>
        <w:t>phrase</w:t>
      </w:r>
      <w:r>
        <w:rPr>
          <w:spacing w:val="-2"/>
        </w:rPr>
        <w:t xml:space="preserve"> </w:t>
      </w:r>
      <w:r>
        <w:t>“substantial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nature”</w:t>
      </w:r>
      <w:r>
        <w:rPr>
          <w:spacing w:val="-4"/>
        </w:rPr>
        <w:t xml:space="preserve"> </w:t>
      </w:r>
      <w:r>
        <w:t>means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regularly</w:t>
      </w:r>
      <w:r>
        <w:rPr>
          <w:spacing w:val="-3"/>
        </w:rPr>
        <w:t xml:space="preserve"> </w:t>
      </w:r>
      <w:r>
        <w:t>expose</w:t>
      </w:r>
      <w:r>
        <w:rPr>
          <w:spacing w:val="-2"/>
        </w:rPr>
        <w:t xml:space="preserve"> </w:t>
      </w:r>
      <w:r>
        <w:t>[him]</w:t>
      </w:r>
      <w:r>
        <w:rPr>
          <w:spacing w:val="-4"/>
        </w:rPr>
        <w:t xml:space="preserve"> </w:t>
      </w:r>
      <w:r>
        <w:t>[her]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 special hazards and disadvantages that are characteristic of a seaman’s work.</w:t>
      </w:r>
    </w:p>
    <w:p w14:paraId="7D216089" w14:textId="77777777" w:rsidR="007F1C08" w:rsidRDefault="007F1C08">
      <w:pPr>
        <w:pStyle w:val="BodyText"/>
      </w:pPr>
    </w:p>
    <w:p w14:paraId="7D21608A" w14:textId="77777777" w:rsidR="007F1C08" w:rsidRPr="00D10D4F" w:rsidRDefault="00E952D4" w:rsidP="00D10D4F">
      <w:pPr>
        <w:jc w:val="center"/>
        <w:rPr>
          <w:b/>
          <w:bCs/>
        </w:rPr>
      </w:pPr>
      <w:r w:rsidRPr="00D10D4F">
        <w:rPr>
          <w:b/>
          <w:bCs/>
        </w:rPr>
        <w:t>Comment</w:t>
      </w:r>
    </w:p>
    <w:p w14:paraId="7D21608B" w14:textId="77777777" w:rsidR="007F1C08" w:rsidRDefault="007F1C08">
      <w:pPr>
        <w:pStyle w:val="BodyText"/>
        <w:rPr>
          <w:b/>
        </w:rPr>
      </w:pPr>
    </w:p>
    <w:p w14:paraId="7D21608C" w14:textId="77777777" w:rsidR="007F1C08" w:rsidRDefault="00E952D4">
      <w:pPr>
        <w:spacing w:before="1"/>
        <w:ind w:left="120" w:right="182" w:firstLine="720"/>
        <w:rPr>
          <w:sz w:val="24"/>
        </w:rPr>
      </w:pPr>
      <w:r>
        <w:rPr>
          <w:sz w:val="24"/>
        </w:rPr>
        <w:t>In order to recover for negligence under the Jones</w:t>
      </w:r>
      <w:r>
        <w:rPr>
          <w:spacing w:val="-3"/>
          <w:sz w:val="24"/>
        </w:rPr>
        <w:t xml:space="preserve"> </w:t>
      </w:r>
      <w:r>
        <w:rPr>
          <w:sz w:val="24"/>
        </w:rPr>
        <w:t>Act, under the doctrine of unseaworthiness, or under a claim for maintenance and cure, the plaintiff must be a “seaman” and must satisfy a two-element test.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See Harbor Tug &amp; Barge Co. v. Papai</w:t>
      </w:r>
      <w:r>
        <w:rPr>
          <w:sz w:val="24"/>
        </w:rPr>
        <w:t xml:space="preserve">, 520 U.S. 548, 554 (1997); </w:t>
      </w:r>
      <w:r>
        <w:rPr>
          <w:i/>
          <w:sz w:val="24"/>
        </w:rPr>
        <w:t>Chandris, Inc. v. Latsis</w:t>
      </w:r>
      <w:r>
        <w:rPr>
          <w:sz w:val="24"/>
        </w:rPr>
        <w:t xml:space="preserve">, 515 U.S. 347, 355 (1995); </w:t>
      </w:r>
      <w:r>
        <w:rPr>
          <w:i/>
          <w:sz w:val="24"/>
        </w:rPr>
        <w:t>Gizoni v. Sw. Marine Inc.</w:t>
      </w:r>
      <w:r>
        <w:rPr>
          <w:sz w:val="24"/>
        </w:rPr>
        <w:t>, 56 F.3d 1138, 1141 (9th Cir. 1995).</w:t>
      </w:r>
      <w:r>
        <w:rPr>
          <w:spacing w:val="40"/>
          <w:sz w:val="24"/>
        </w:rPr>
        <w:t xml:space="preserve"> </w:t>
      </w:r>
      <w:r>
        <w:rPr>
          <w:sz w:val="24"/>
        </w:rPr>
        <w:t>The seaman inquiry is a mixed question of law and fact, and when necessary,</w:t>
      </w:r>
      <w:r>
        <w:rPr>
          <w:spacing w:val="-8"/>
          <w:sz w:val="24"/>
        </w:rPr>
        <w:t xml:space="preserve"> </w:t>
      </w:r>
      <w:r>
        <w:rPr>
          <w:sz w:val="24"/>
        </w:rPr>
        <w:t>should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submitted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jury.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Delange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v.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Dutra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Constr.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Co.</w:t>
      </w:r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183</w:t>
      </w:r>
      <w:r>
        <w:rPr>
          <w:spacing w:val="-8"/>
          <w:sz w:val="24"/>
        </w:rPr>
        <w:t xml:space="preserve"> </w:t>
      </w:r>
      <w:r>
        <w:rPr>
          <w:sz w:val="24"/>
        </w:rPr>
        <w:t>F.3d</w:t>
      </w:r>
      <w:r>
        <w:rPr>
          <w:spacing w:val="-8"/>
          <w:sz w:val="24"/>
        </w:rPr>
        <w:t xml:space="preserve"> </w:t>
      </w:r>
      <w:r>
        <w:rPr>
          <w:sz w:val="24"/>
        </w:rPr>
        <w:t>916,</w:t>
      </w:r>
      <w:r>
        <w:rPr>
          <w:spacing w:val="-8"/>
          <w:sz w:val="24"/>
        </w:rPr>
        <w:t xml:space="preserve"> </w:t>
      </w:r>
      <w:r>
        <w:rPr>
          <w:sz w:val="24"/>
        </w:rPr>
        <w:t>919</w:t>
      </w:r>
      <w:r>
        <w:rPr>
          <w:spacing w:val="-8"/>
          <w:sz w:val="24"/>
        </w:rPr>
        <w:t xml:space="preserve"> </w:t>
      </w:r>
      <w:r>
        <w:rPr>
          <w:sz w:val="24"/>
        </w:rPr>
        <w:t>(9th Cir. 1999).</w:t>
      </w:r>
      <w:r>
        <w:rPr>
          <w:spacing w:val="40"/>
          <w:sz w:val="24"/>
        </w:rPr>
        <w:t xml:space="preserve"> </w:t>
      </w:r>
      <w:r>
        <w:rPr>
          <w:sz w:val="24"/>
        </w:rPr>
        <w:t>The Jones</w:t>
      </w:r>
      <w:r>
        <w:rPr>
          <w:spacing w:val="-10"/>
          <w:sz w:val="24"/>
        </w:rPr>
        <w:t xml:space="preserve"> </w:t>
      </w:r>
      <w:r>
        <w:rPr>
          <w:sz w:val="24"/>
        </w:rPr>
        <w:t>Act does not define the term “seaman,” and the issue of who is or is not covered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statute</w:t>
      </w:r>
      <w:r>
        <w:rPr>
          <w:spacing w:val="-6"/>
          <w:sz w:val="24"/>
        </w:rPr>
        <w:t xml:space="preserve"> </w:t>
      </w:r>
      <w:r>
        <w:rPr>
          <w:sz w:val="24"/>
        </w:rPr>
        <w:t>has</w:t>
      </w:r>
      <w:r>
        <w:rPr>
          <w:spacing w:val="-5"/>
          <w:sz w:val="24"/>
        </w:rPr>
        <w:t xml:space="preserve"> </w:t>
      </w:r>
      <w:r>
        <w:rPr>
          <w:sz w:val="24"/>
        </w:rPr>
        <w:t>been</w:t>
      </w:r>
      <w:r>
        <w:rPr>
          <w:spacing w:val="-5"/>
          <w:sz w:val="24"/>
        </w:rPr>
        <w:t xml:space="preserve"> </w:t>
      </w:r>
      <w:r>
        <w:rPr>
          <w:sz w:val="24"/>
        </w:rPr>
        <w:t>repeatedly</w:t>
      </w:r>
      <w:r>
        <w:rPr>
          <w:spacing w:val="-3"/>
          <w:sz w:val="24"/>
        </w:rPr>
        <w:t xml:space="preserve"> </w:t>
      </w:r>
      <w:r>
        <w:rPr>
          <w:sz w:val="24"/>
        </w:rPr>
        <w:t>considered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Supreme</w:t>
      </w:r>
      <w:r>
        <w:rPr>
          <w:spacing w:val="-6"/>
          <w:sz w:val="24"/>
        </w:rPr>
        <w:t xml:space="preserve"> </w:t>
      </w:r>
      <w:r>
        <w:rPr>
          <w:sz w:val="24"/>
        </w:rPr>
        <w:t>Court</w:t>
      </w:r>
      <w:r>
        <w:rPr>
          <w:spacing w:val="-5"/>
          <w:sz w:val="24"/>
        </w:rPr>
        <w:t xml:space="preserve"> </w:t>
      </w:r>
      <w:r>
        <w:rPr>
          <w:sz w:val="24"/>
        </w:rPr>
        <w:t>since</w:t>
      </w:r>
      <w:r>
        <w:rPr>
          <w:spacing w:val="-6"/>
          <w:sz w:val="24"/>
        </w:rPr>
        <w:t xml:space="preserve"> </w:t>
      </w:r>
      <w:r>
        <w:rPr>
          <w:sz w:val="24"/>
        </w:rPr>
        <w:t>1991.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See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Sw. Marine Inc. v. Gizoni</w:t>
      </w:r>
      <w:r>
        <w:rPr>
          <w:sz w:val="24"/>
        </w:rPr>
        <w:t xml:space="preserve">, 502 U.S. 81 (1991); </w:t>
      </w:r>
      <w:r>
        <w:rPr>
          <w:i/>
          <w:sz w:val="24"/>
        </w:rPr>
        <w:t>McDermott Int’l v. Wilander</w:t>
      </w:r>
      <w:r>
        <w:rPr>
          <w:sz w:val="24"/>
        </w:rPr>
        <w:t>, 498 U.S. 337 (1991).</w:t>
      </w:r>
    </w:p>
    <w:p w14:paraId="7D21608D" w14:textId="77777777" w:rsidR="007F1C08" w:rsidRDefault="00E952D4">
      <w:pPr>
        <w:ind w:left="119"/>
        <w:rPr>
          <w:sz w:val="24"/>
        </w:rPr>
      </w:pPr>
      <w:r>
        <w:rPr>
          <w:i/>
          <w:sz w:val="24"/>
        </w:rPr>
        <w:t>See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also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Stewart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v.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Dutra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Constr.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Co.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543</w:t>
      </w:r>
      <w:r>
        <w:rPr>
          <w:spacing w:val="-4"/>
          <w:sz w:val="24"/>
        </w:rPr>
        <w:t xml:space="preserve"> </w:t>
      </w:r>
      <w:r>
        <w:rPr>
          <w:sz w:val="24"/>
        </w:rPr>
        <w:t>U.S.</w:t>
      </w:r>
      <w:r>
        <w:rPr>
          <w:spacing w:val="-4"/>
          <w:sz w:val="24"/>
        </w:rPr>
        <w:t xml:space="preserve"> </w:t>
      </w:r>
      <w:r>
        <w:rPr>
          <w:sz w:val="24"/>
        </w:rPr>
        <w:t>481</w:t>
      </w:r>
      <w:r>
        <w:rPr>
          <w:spacing w:val="-4"/>
          <w:sz w:val="24"/>
        </w:rPr>
        <w:t xml:space="preserve"> </w:t>
      </w:r>
      <w:r>
        <w:rPr>
          <w:sz w:val="24"/>
        </w:rPr>
        <w:t>(2005);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Papai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520</w:t>
      </w:r>
      <w:r>
        <w:rPr>
          <w:spacing w:val="-4"/>
          <w:sz w:val="24"/>
        </w:rPr>
        <w:t xml:space="preserve"> </w:t>
      </w:r>
      <w:r>
        <w:rPr>
          <w:sz w:val="24"/>
        </w:rPr>
        <w:t>U.S.</w:t>
      </w:r>
      <w:r>
        <w:rPr>
          <w:spacing w:val="-4"/>
          <w:sz w:val="24"/>
        </w:rPr>
        <w:t xml:space="preserve"> </w:t>
      </w:r>
      <w:r>
        <w:rPr>
          <w:sz w:val="24"/>
        </w:rPr>
        <w:t>548;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Chandris,</w:t>
      </w:r>
      <w:r>
        <w:rPr>
          <w:i/>
          <w:spacing w:val="-4"/>
          <w:sz w:val="24"/>
        </w:rPr>
        <w:t xml:space="preserve"> </w:t>
      </w:r>
      <w:r>
        <w:rPr>
          <w:spacing w:val="-5"/>
          <w:sz w:val="24"/>
        </w:rPr>
        <w:t>515</w:t>
      </w:r>
    </w:p>
    <w:p w14:paraId="7D21608E" w14:textId="77777777" w:rsidR="007F1C08" w:rsidRDefault="00E952D4">
      <w:pPr>
        <w:pStyle w:val="BodyText"/>
        <w:ind w:left="119" w:right="182"/>
      </w:pPr>
      <w:r>
        <w:t>U.S. 347.</w:t>
      </w:r>
      <w:r>
        <w:rPr>
          <w:spacing w:val="40"/>
        </w:rPr>
        <w:t xml:space="preserve"> </w:t>
      </w:r>
      <w:r>
        <w:t>In defining the prerequisites for Jones</w:t>
      </w:r>
      <w:r>
        <w:rPr>
          <w:spacing w:val="-6"/>
        </w:rPr>
        <w:t xml:space="preserve"> </w:t>
      </w:r>
      <w:r>
        <w:t>Act coverage, the Supreme Court has found it preferable to focus upon the essence of what it means to be a seaman and to reject detailed tests that</w:t>
      </w:r>
      <w:r>
        <w:rPr>
          <w:spacing w:val="-5"/>
        </w:rPr>
        <w:t xml:space="preserve"> </w:t>
      </w:r>
      <w:r>
        <w:t>tend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become</w:t>
      </w:r>
      <w:r>
        <w:rPr>
          <w:spacing w:val="-4"/>
        </w:rPr>
        <w:t xml:space="preserve"> </w:t>
      </w:r>
      <w:r>
        <w:t>ends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themselves.</w:t>
      </w:r>
      <w:r>
        <w:rPr>
          <w:spacing w:val="40"/>
        </w:rPr>
        <w:t xml:space="preserve"> </w:t>
      </w:r>
      <w:r>
        <w:t>“The</w:t>
      </w:r>
      <w:r>
        <w:rPr>
          <w:spacing w:val="-4"/>
        </w:rPr>
        <w:t xml:space="preserve"> </w:t>
      </w:r>
      <w:r>
        <w:t>Jones</w:t>
      </w:r>
      <w:r>
        <w:rPr>
          <w:spacing w:val="-15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remedy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reserved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sea-based maritime employees whose work regularly exposes them to the special hazards and disadvantages to which they who go down to sea in ships are subjected.”</w:t>
      </w:r>
      <w:r>
        <w:rPr>
          <w:spacing w:val="40"/>
        </w:rPr>
        <w:t xml:space="preserve"> </w:t>
      </w:r>
      <w:r>
        <w:rPr>
          <w:i/>
        </w:rPr>
        <w:t xml:space="preserve">Chandris, </w:t>
      </w:r>
      <w:r>
        <w:t>515 U.S. at</w:t>
      </w:r>
    </w:p>
    <w:p w14:paraId="7D21608F" w14:textId="77777777" w:rsidR="007F1C08" w:rsidRDefault="007F1C08">
      <w:pPr>
        <w:sectPr w:rsidR="007F1C08">
          <w:type w:val="continuous"/>
          <w:pgSz w:w="12240" w:h="15840"/>
          <w:pgMar w:top="1360" w:right="1340" w:bottom="280" w:left="1320" w:header="720" w:footer="720" w:gutter="0"/>
          <w:cols w:space="720"/>
        </w:sectPr>
      </w:pPr>
    </w:p>
    <w:p w14:paraId="7D216090" w14:textId="77777777" w:rsidR="007F1C08" w:rsidRDefault="00E952D4">
      <w:pPr>
        <w:pStyle w:val="BodyText"/>
        <w:spacing w:before="79"/>
        <w:ind w:left="120" w:right="182"/>
      </w:pPr>
      <w:r>
        <w:lastRenderedPageBreak/>
        <w:t>369-70.</w:t>
      </w:r>
      <w:r>
        <w:rPr>
          <w:spacing w:val="40"/>
        </w:rPr>
        <w:t xml:space="preserve"> </w:t>
      </w:r>
      <w:r>
        <w:t xml:space="preserve">In </w:t>
      </w:r>
      <w:r>
        <w:rPr>
          <w:i/>
        </w:rPr>
        <w:t>Chandris</w:t>
      </w:r>
      <w:r>
        <w:t>, the Court said the essential test for seaman status “comprises two basic elements: The worker’s duties must contribute to the function of the vessel or to the accomplishment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mission,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worker</w:t>
      </w:r>
      <w:r>
        <w:rPr>
          <w:spacing w:val="-4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connection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vessel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navigation (or an identifiable group of vessels) that is substantial in terms of both its duration and its nature.”</w:t>
      </w:r>
      <w:r>
        <w:rPr>
          <w:spacing w:val="40"/>
        </w:rPr>
        <w:t xml:space="preserve"> </w:t>
      </w:r>
      <w:r>
        <w:rPr>
          <w:i/>
        </w:rPr>
        <w:t xml:space="preserve">Id. </w:t>
      </w:r>
      <w:r>
        <w:t>at 376.</w:t>
      </w:r>
    </w:p>
    <w:p w14:paraId="7D216091" w14:textId="77777777" w:rsidR="007F1C08" w:rsidRDefault="007F1C08">
      <w:pPr>
        <w:pStyle w:val="BodyText"/>
      </w:pPr>
    </w:p>
    <w:p w14:paraId="7D216092" w14:textId="77777777" w:rsidR="007F1C08" w:rsidRDefault="00E952D4">
      <w:pPr>
        <w:pStyle w:val="BodyText"/>
        <w:ind w:left="120" w:right="182" w:firstLine="720"/>
      </w:pPr>
      <w:r>
        <w:t>The Supreme Court has cautioned against using a “snapshot” test and admonishes that a plaintiff’s seaman status must be determined in the context of his or her “overall employment” with the defendant employer.</w:t>
      </w:r>
      <w:r>
        <w:rPr>
          <w:spacing w:val="40"/>
        </w:rPr>
        <w:t xml:space="preserve"> </w:t>
      </w:r>
      <w:r>
        <w:rPr>
          <w:i/>
        </w:rPr>
        <w:t xml:space="preserve">Id. </w:t>
      </w:r>
      <w:r>
        <w:t>at 366-67.</w:t>
      </w:r>
      <w:r>
        <w:rPr>
          <w:spacing w:val="40"/>
        </w:rPr>
        <w:t xml:space="preserve"> </w:t>
      </w:r>
      <w:r>
        <w:t>In the Court’s view, the total circumstances of an individual’s employment must be weighed to determine whether he or she had a sufficient relation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navigation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vessels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perils</w:t>
      </w:r>
      <w:r>
        <w:rPr>
          <w:spacing w:val="-3"/>
        </w:rPr>
        <w:t xml:space="preserve"> </w:t>
      </w:r>
      <w:r>
        <w:t>attendant</w:t>
      </w:r>
      <w:r>
        <w:rPr>
          <w:spacing w:val="-3"/>
        </w:rPr>
        <w:t xml:space="preserve"> </w:t>
      </w:r>
      <w:r>
        <w:t>thereon.</w:t>
      </w:r>
      <w:r>
        <w:rPr>
          <w:spacing w:val="4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duration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worker’s connection to a vessel and the nature of the worker’s activities, taken together, determine whether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maritime</w:t>
      </w:r>
      <w:r>
        <w:rPr>
          <w:spacing w:val="-1"/>
        </w:rPr>
        <w:t xml:space="preserve"> </w:t>
      </w:r>
      <w:r>
        <w:t>employee</w:t>
      </w:r>
      <w:r>
        <w:rPr>
          <w:spacing w:val="-1"/>
        </w:rPr>
        <w:t xml:space="preserve"> </w:t>
      </w:r>
      <w:r>
        <w:t>is a</w:t>
      </w:r>
      <w:r>
        <w:rPr>
          <w:spacing w:val="-1"/>
        </w:rPr>
        <w:t xml:space="preserve"> </w:t>
      </w:r>
      <w:r>
        <w:t>seaman because the</w:t>
      </w:r>
      <w:r>
        <w:rPr>
          <w:spacing w:val="-1"/>
        </w:rPr>
        <w:t xml:space="preserve"> </w:t>
      </w:r>
      <w:r>
        <w:t>ultimate</w:t>
      </w:r>
      <w:r>
        <w:rPr>
          <w:spacing w:val="-1"/>
        </w:rPr>
        <w:t xml:space="preserve"> </w:t>
      </w:r>
      <w:r>
        <w:t>inquiry is whether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worker</w:t>
      </w:r>
      <w:r>
        <w:rPr>
          <w:spacing w:val="-1"/>
        </w:rPr>
        <w:t xml:space="preserve"> </w:t>
      </w:r>
      <w:r>
        <w:t>in question is a member of the vessel’s crew or simply a land-based employee who happens to be working on the vessel at a given time.</w:t>
      </w:r>
      <w:r>
        <w:rPr>
          <w:spacing w:val="40"/>
        </w:rPr>
        <w:t xml:space="preserve"> </w:t>
      </w:r>
      <w:r>
        <w:rPr>
          <w:i/>
        </w:rPr>
        <w:t xml:space="preserve">Id. </w:t>
      </w:r>
      <w:r>
        <w:t>at 369-70.</w:t>
      </w:r>
      <w:r>
        <w:rPr>
          <w:spacing w:val="40"/>
        </w:rPr>
        <w:t xml:space="preserve"> </w:t>
      </w:r>
      <w:r>
        <w:t>The Court has also identified an appropriate rule of thumb for applying the temporal or durational requirement in the ordinary case: “A</w:t>
      </w:r>
      <w:r>
        <w:rPr>
          <w:spacing w:val="-7"/>
        </w:rPr>
        <w:t xml:space="preserve"> </w:t>
      </w:r>
      <w:r>
        <w:t>worker who spends less than about 30 percent of his time in the service of a vessel in navigation should not qualify as a seaman under the Jones</w:t>
      </w:r>
      <w:r>
        <w:rPr>
          <w:spacing w:val="-7"/>
        </w:rPr>
        <w:t xml:space="preserve"> </w:t>
      </w:r>
      <w:r>
        <w:t>Act.”</w:t>
      </w:r>
      <w:r>
        <w:rPr>
          <w:spacing w:val="40"/>
        </w:rPr>
        <w:t xml:space="preserve"> </w:t>
      </w:r>
      <w:r>
        <w:rPr>
          <w:i/>
        </w:rPr>
        <w:t xml:space="preserve">Id. </w:t>
      </w:r>
      <w:r>
        <w:t>at 371.</w:t>
      </w:r>
    </w:p>
    <w:p w14:paraId="7D216093" w14:textId="77777777" w:rsidR="007F1C08" w:rsidRDefault="007F1C08">
      <w:pPr>
        <w:pStyle w:val="BodyText"/>
      </w:pPr>
    </w:p>
    <w:p w14:paraId="7D216094" w14:textId="77777777" w:rsidR="007F1C08" w:rsidRDefault="00E952D4">
      <w:pPr>
        <w:pStyle w:val="BodyText"/>
        <w:ind w:left="119" w:firstLine="720"/>
      </w:pPr>
      <w:r>
        <w:t>A</w:t>
      </w:r>
      <w:r>
        <w:rPr>
          <w:spacing w:val="-6"/>
        </w:rPr>
        <w:t xml:space="preserve"> </w:t>
      </w:r>
      <w:r>
        <w:t xml:space="preserve">plaintiff may be entitled to an instruction on the fleet seaman doctrine if it has some foundation in the evidence. </w:t>
      </w:r>
      <w:r>
        <w:rPr>
          <w:i/>
        </w:rPr>
        <w:t>Gizoni</w:t>
      </w:r>
      <w:r>
        <w:t>, 56 F.3d at 1141 (“Under the fleet doctrine, one can acquire ‘seaman</w:t>
      </w:r>
      <w:r>
        <w:rPr>
          <w:spacing w:val="-5"/>
        </w:rPr>
        <w:t xml:space="preserve"> </w:t>
      </w:r>
      <w:r>
        <w:t>status’</w:t>
      </w:r>
      <w:r>
        <w:rPr>
          <w:spacing w:val="-18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permanent</w:t>
      </w:r>
      <w:r>
        <w:rPr>
          <w:spacing w:val="-3"/>
        </w:rPr>
        <w:t xml:space="preserve"> </w:t>
      </w:r>
      <w:r>
        <w:t>assignment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vessels</w:t>
      </w:r>
      <w:r>
        <w:rPr>
          <w:spacing w:val="-3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common</w:t>
      </w:r>
      <w:r>
        <w:rPr>
          <w:spacing w:val="-3"/>
        </w:rPr>
        <w:t xml:space="preserve"> </w:t>
      </w:r>
      <w:r>
        <w:t>ownership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2"/>
        </w:rPr>
        <w:t>control.”).</w:t>
      </w:r>
    </w:p>
    <w:p w14:paraId="7D216095" w14:textId="77777777" w:rsidR="007F1C08" w:rsidRDefault="007F1C08">
      <w:pPr>
        <w:pStyle w:val="BodyText"/>
      </w:pPr>
    </w:p>
    <w:p w14:paraId="7D216096" w14:textId="77777777" w:rsidR="007F1C08" w:rsidRDefault="00E952D4">
      <w:pPr>
        <w:pStyle w:val="BodyText"/>
        <w:ind w:left="119" w:right="182" w:firstLine="720"/>
      </w:pPr>
      <w:r>
        <w:t>The Longshore and Harbor</w:t>
      </w:r>
      <w:r>
        <w:rPr>
          <w:spacing w:val="-2"/>
        </w:rPr>
        <w:t xml:space="preserve"> </w:t>
      </w:r>
      <w:r>
        <w:t>Workers’</w:t>
      </w:r>
      <w:r>
        <w:rPr>
          <w:spacing w:val="-15"/>
        </w:rPr>
        <w:t xml:space="preserve"> </w:t>
      </w:r>
      <w:r>
        <w:t>Compensation</w:t>
      </w:r>
      <w:r>
        <w:rPr>
          <w:spacing w:val="-12"/>
        </w:rPr>
        <w:t xml:space="preserve"> </w:t>
      </w:r>
      <w:r>
        <w:t>Act (LHWCA) excludes from its coverage</w:t>
      </w:r>
      <w:r>
        <w:rPr>
          <w:spacing w:val="-3"/>
        </w:rPr>
        <w:t xml:space="preserve"> </w:t>
      </w:r>
      <w:r>
        <w:t>“a</w:t>
      </w:r>
      <w:r>
        <w:rPr>
          <w:spacing w:val="-3"/>
        </w:rPr>
        <w:t xml:space="preserve"> </w:t>
      </w:r>
      <w:r>
        <w:t>master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crew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vessel.”</w:t>
      </w:r>
      <w:r>
        <w:rPr>
          <w:spacing w:val="40"/>
        </w:rPr>
        <w:t xml:space="preserve"> </w:t>
      </w:r>
      <w:r>
        <w:t>33</w:t>
      </w:r>
      <w:r>
        <w:rPr>
          <w:spacing w:val="-2"/>
        </w:rPr>
        <w:t xml:space="preserve"> </w:t>
      </w:r>
      <w:r>
        <w:t>U.S.C.</w:t>
      </w:r>
      <w:r>
        <w:rPr>
          <w:spacing w:val="-2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902(3)(G).</w:t>
      </w:r>
      <w:r>
        <w:rPr>
          <w:spacing w:val="40"/>
        </w:rPr>
        <w:t xml:space="preserve"> </w:t>
      </w:r>
      <w:r>
        <w:t>Masters</w:t>
      </w:r>
      <w:r>
        <w:rPr>
          <w:spacing w:val="-2"/>
        </w:rPr>
        <w:t xml:space="preserve"> </w:t>
      </w:r>
      <w:r>
        <w:t>and crew</w:t>
      </w:r>
      <w:r>
        <w:rPr>
          <w:spacing w:val="-1"/>
        </w:rPr>
        <w:t xml:space="preserve"> </w:t>
      </w:r>
      <w:r>
        <w:t>members are</w:t>
      </w:r>
      <w:r>
        <w:rPr>
          <w:spacing w:val="-1"/>
        </w:rPr>
        <w:t xml:space="preserve"> </w:t>
      </w:r>
      <w:r>
        <w:t>entitled to sue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Jones</w:t>
      </w:r>
      <w:r>
        <w:rPr>
          <w:spacing w:val="-10"/>
        </w:rPr>
        <w:t xml:space="preserve"> </w:t>
      </w:r>
      <w:r>
        <w:t>Act and the</w:t>
      </w:r>
      <w:r>
        <w:rPr>
          <w:spacing w:val="-1"/>
        </w:rPr>
        <w:t xml:space="preserve"> </w:t>
      </w:r>
      <w:r>
        <w:t>doctrine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unseaworthiness.</w:t>
      </w:r>
      <w:r>
        <w:rPr>
          <w:spacing w:val="40"/>
        </w:rPr>
        <w:t xml:space="preserve"> </w:t>
      </w:r>
      <w:r>
        <w:t>A person who is not a seaman is limited to the remedies of the LHWCA.</w:t>
      </w:r>
    </w:p>
    <w:p w14:paraId="2BE61930" w14:textId="77777777" w:rsidR="00D10D4F" w:rsidRDefault="00D10D4F">
      <w:pPr>
        <w:pStyle w:val="BodyText"/>
        <w:ind w:left="119" w:right="182" w:firstLine="720"/>
      </w:pPr>
    </w:p>
    <w:p w14:paraId="678AF335" w14:textId="77777777" w:rsidR="00D10D4F" w:rsidRDefault="00D10D4F">
      <w:pPr>
        <w:pStyle w:val="BodyText"/>
        <w:ind w:left="119" w:right="182" w:firstLine="720"/>
      </w:pPr>
    </w:p>
    <w:p w14:paraId="4554C7A8" w14:textId="77777777" w:rsidR="00222632" w:rsidRPr="00222632" w:rsidRDefault="00222632" w:rsidP="00E952D4">
      <w:pPr>
        <w:pStyle w:val="BodyText"/>
        <w:ind w:right="182" w:firstLine="720"/>
        <w:jc w:val="right"/>
        <w:rPr>
          <w:i/>
          <w:iCs/>
        </w:rPr>
      </w:pPr>
      <w:r w:rsidRPr="00222632">
        <w:rPr>
          <w:i/>
          <w:iCs/>
        </w:rPr>
        <w:t>Revised March 2025</w:t>
      </w:r>
    </w:p>
    <w:p w14:paraId="3A3F465A" w14:textId="77777777" w:rsidR="00D10D4F" w:rsidRDefault="00D10D4F" w:rsidP="00D10D4F">
      <w:pPr>
        <w:pStyle w:val="BodyText"/>
        <w:ind w:left="119" w:right="182" w:firstLine="720"/>
        <w:jc w:val="right"/>
      </w:pPr>
    </w:p>
    <w:sectPr w:rsidR="00D10D4F">
      <w:pgSz w:w="12240" w:h="15840"/>
      <w:pgMar w:top="136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F1C08"/>
    <w:rsid w:val="00222632"/>
    <w:rsid w:val="00723412"/>
    <w:rsid w:val="007F1C08"/>
    <w:rsid w:val="00B17C5B"/>
    <w:rsid w:val="00D10D4F"/>
    <w:rsid w:val="00E952D4"/>
    <w:rsid w:val="00F5429A"/>
    <w:rsid w:val="00FC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1607A"/>
  <w15:docId w15:val="{065CADB2-6D35-4B9D-9070-249D7573F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222632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3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740</Words>
  <Characters>4222</Characters>
  <Application>Microsoft Office Word</Application>
  <DocSecurity>0</DocSecurity>
  <Lines>35</Lines>
  <Paragraphs>9</Paragraphs>
  <ScaleCrop>false</ScaleCrop>
  <Company>United States Courts</Company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Aejung Yoon</dc:creator>
  <cp:lastModifiedBy>Samriddhi Rana</cp:lastModifiedBy>
  <cp:revision>5</cp:revision>
  <dcterms:created xsi:type="dcterms:W3CDTF">2025-04-23T21:08:00Z</dcterms:created>
  <dcterms:modified xsi:type="dcterms:W3CDTF">2025-04-24T17:15:00Z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2025-04-23T00:00:00Z</vt:filetime>
  </property>
  <property fmtid="{D5CDD505-2E9C-101B-9397-08002B2CF9AE}" pid="3" name="Creator">
    <vt:lpwstr>Acrobat PDFMaker 25 for Word</vt:lpwstr>
  </property>
  <property fmtid="{D5CDD505-2E9C-101B-9397-08002B2CF9AE}" pid="4" name="LastSaved">
    <vt:filetime>2025-04-23T00:00:00Z</vt:filetime>
  </property>
  <property fmtid="{D5CDD505-2E9C-101B-9397-08002B2CF9AE}" pid="5" name="Producer">
    <vt:lpwstr>Adobe PDF Library 25.1.211</vt:lpwstr>
  </property>
</Properties>
</file>