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35562" w14:textId="03B69B7B" w:rsidR="00256F4E" w:rsidRDefault="008617A3">
      <w:pPr>
        <w:pStyle w:val="Heading1"/>
        <w:spacing w:before="79"/>
        <w:ind w:left="495"/>
      </w:pPr>
      <w:r>
        <w:t>7.2</w:t>
      </w:r>
      <w:r>
        <w:rPr>
          <w:spacing w:val="-6"/>
        </w:rPr>
        <w:t xml:space="preserve"> </w:t>
      </w:r>
      <w:r>
        <w:t>Jones</w:t>
      </w:r>
      <w:r>
        <w:rPr>
          <w:spacing w:val="-15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Negligence</w:t>
      </w:r>
      <w:r>
        <w:rPr>
          <w:spacing w:val="-3"/>
        </w:rPr>
        <w:t xml:space="preserve"> </w:t>
      </w:r>
      <w:r>
        <w:t>Claim—Elements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(46</w:t>
      </w:r>
      <w:r>
        <w:rPr>
          <w:spacing w:val="-2"/>
        </w:rPr>
        <w:t xml:space="preserve"> </w:t>
      </w:r>
      <w:r>
        <w:t>U.S.C.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30104)</w:t>
      </w:r>
    </w:p>
    <w:p w14:paraId="3DE35563" w14:textId="77777777" w:rsidR="00256F4E" w:rsidRDefault="00256F4E">
      <w:pPr>
        <w:pStyle w:val="BodyText"/>
        <w:rPr>
          <w:b/>
        </w:rPr>
      </w:pPr>
    </w:p>
    <w:p w14:paraId="3DE35564" w14:textId="77777777" w:rsidR="00256F4E" w:rsidRDefault="008617A3">
      <w:pPr>
        <w:pStyle w:val="BodyText"/>
        <w:ind w:left="100" w:firstLine="720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plaintiff’s</w:t>
      </w:r>
      <w:r>
        <w:rPr>
          <w:spacing w:val="-4"/>
        </w:rPr>
        <w:t xml:space="preserve"> </w:t>
      </w:r>
      <w:r>
        <w:t>Jones</w:t>
      </w:r>
      <w:r>
        <w:rPr>
          <w:spacing w:val="-1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negligence</w:t>
      </w:r>
      <w:r>
        <w:rPr>
          <w:spacing w:val="-5"/>
        </w:rPr>
        <w:t xml:space="preserve"> </w:t>
      </w:r>
      <w:r>
        <w:t>claim,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plaintiff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proving</w:t>
      </w:r>
      <w:r>
        <w:rPr>
          <w:spacing w:val="-4"/>
        </w:rPr>
        <w:t xml:space="preserve"> </w:t>
      </w:r>
      <w:r>
        <w:t>the following elements by a preponderance of the evidence:</w:t>
      </w:r>
    </w:p>
    <w:p w14:paraId="3DE35565" w14:textId="77777777" w:rsidR="00256F4E" w:rsidRDefault="00256F4E">
      <w:pPr>
        <w:pStyle w:val="BodyText"/>
      </w:pPr>
    </w:p>
    <w:p w14:paraId="3DE35566" w14:textId="39EF40C2" w:rsidR="00256F4E" w:rsidRPr="00311975" w:rsidRDefault="00311975" w:rsidP="00311975">
      <w:pPr>
        <w:tabs>
          <w:tab w:val="left" w:pos="1539"/>
        </w:tabs>
        <w:rPr>
          <w:sz w:val="24"/>
        </w:rPr>
      </w:pPr>
      <w:r>
        <w:rPr>
          <w:sz w:val="24"/>
        </w:rPr>
        <w:t xml:space="preserve">              </w:t>
      </w:r>
      <w:r w:rsidR="008617A3" w:rsidRPr="00311975">
        <w:rPr>
          <w:sz w:val="24"/>
        </w:rPr>
        <w:t>First,</w:t>
      </w:r>
      <w:r w:rsidR="008617A3" w:rsidRPr="00311975">
        <w:rPr>
          <w:spacing w:val="-3"/>
          <w:sz w:val="24"/>
        </w:rPr>
        <w:t xml:space="preserve"> </w:t>
      </w:r>
      <w:r w:rsidR="008617A3" w:rsidRPr="00311975">
        <w:rPr>
          <w:sz w:val="24"/>
        </w:rPr>
        <w:t>the</w:t>
      </w:r>
      <w:r w:rsidR="008617A3" w:rsidRPr="00311975">
        <w:rPr>
          <w:spacing w:val="-2"/>
          <w:sz w:val="24"/>
        </w:rPr>
        <w:t xml:space="preserve"> </w:t>
      </w:r>
      <w:r w:rsidR="008617A3" w:rsidRPr="00311975">
        <w:rPr>
          <w:sz w:val="24"/>
        </w:rPr>
        <w:t>plaintiff</w:t>
      </w:r>
      <w:r w:rsidR="008617A3" w:rsidRPr="00311975">
        <w:rPr>
          <w:spacing w:val="-3"/>
          <w:sz w:val="24"/>
        </w:rPr>
        <w:t xml:space="preserve"> </w:t>
      </w:r>
      <w:r w:rsidR="008617A3" w:rsidRPr="00311975">
        <w:rPr>
          <w:sz w:val="24"/>
        </w:rPr>
        <w:t>was</w:t>
      </w:r>
      <w:r w:rsidR="008617A3" w:rsidRPr="00311975">
        <w:rPr>
          <w:spacing w:val="-3"/>
          <w:sz w:val="24"/>
        </w:rPr>
        <w:t xml:space="preserve"> </w:t>
      </w:r>
      <w:r w:rsidR="008617A3" w:rsidRPr="00311975">
        <w:rPr>
          <w:sz w:val="24"/>
        </w:rPr>
        <w:t>a</w:t>
      </w:r>
      <w:r w:rsidR="008617A3" w:rsidRPr="00311975">
        <w:rPr>
          <w:spacing w:val="-2"/>
          <w:sz w:val="24"/>
        </w:rPr>
        <w:t xml:space="preserve"> </w:t>
      </w:r>
      <w:proofErr w:type="gramStart"/>
      <w:r w:rsidR="008617A3" w:rsidRPr="00311975">
        <w:rPr>
          <w:spacing w:val="-2"/>
          <w:sz w:val="24"/>
        </w:rPr>
        <w:t>seaman;</w:t>
      </w:r>
      <w:proofErr w:type="gramEnd"/>
    </w:p>
    <w:p w14:paraId="3DE35567" w14:textId="77777777" w:rsidR="00256F4E" w:rsidRPr="00311975" w:rsidRDefault="00256F4E">
      <w:pPr>
        <w:pStyle w:val="BodyText"/>
      </w:pPr>
    </w:p>
    <w:p w14:paraId="6148B0A7" w14:textId="0173DCE8" w:rsidR="00311975" w:rsidRPr="00311975" w:rsidRDefault="00311975" w:rsidP="00311975">
      <w:pPr>
        <w:tabs>
          <w:tab w:val="left" w:pos="1540"/>
        </w:tabs>
        <w:rPr>
          <w:sz w:val="24"/>
        </w:rPr>
      </w:pPr>
      <w:r>
        <w:rPr>
          <w:sz w:val="24"/>
        </w:rPr>
        <w:t xml:space="preserve">              </w:t>
      </w:r>
      <w:r w:rsidR="008617A3" w:rsidRPr="00311975">
        <w:rPr>
          <w:sz w:val="24"/>
        </w:rPr>
        <w:t>Second,</w:t>
      </w:r>
      <w:r w:rsidR="008617A3" w:rsidRPr="00311975">
        <w:rPr>
          <w:spacing w:val="-2"/>
          <w:sz w:val="24"/>
        </w:rPr>
        <w:t xml:space="preserve"> </w:t>
      </w:r>
      <w:r w:rsidR="008617A3" w:rsidRPr="00311975">
        <w:rPr>
          <w:sz w:val="24"/>
        </w:rPr>
        <w:t>the</w:t>
      </w:r>
      <w:r w:rsidR="008617A3" w:rsidRPr="00311975">
        <w:rPr>
          <w:spacing w:val="-2"/>
          <w:sz w:val="24"/>
        </w:rPr>
        <w:t xml:space="preserve"> </w:t>
      </w:r>
      <w:r w:rsidR="008617A3" w:rsidRPr="00311975">
        <w:rPr>
          <w:sz w:val="24"/>
        </w:rPr>
        <w:t>defendant</w:t>
      </w:r>
      <w:r w:rsidR="008617A3" w:rsidRPr="00311975">
        <w:rPr>
          <w:spacing w:val="-1"/>
          <w:sz w:val="24"/>
        </w:rPr>
        <w:t xml:space="preserve"> </w:t>
      </w:r>
      <w:r w:rsidR="008617A3" w:rsidRPr="00311975">
        <w:rPr>
          <w:sz w:val="24"/>
        </w:rPr>
        <w:t>was</w:t>
      </w:r>
      <w:r w:rsidR="008617A3" w:rsidRPr="00311975">
        <w:rPr>
          <w:spacing w:val="-1"/>
          <w:sz w:val="24"/>
        </w:rPr>
        <w:t xml:space="preserve"> </w:t>
      </w:r>
      <w:r w:rsidR="008617A3" w:rsidRPr="00311975">
        <w:rPr>
          <w:sz w:val="24"/>
        </w:rPr>
        <w:t>negligent;</w:t>
      </w:r>
      <w:r w:rsidR="008617A3" w:rsidRPr="00311975">
        <w:rPr>
          <w:spacing w:val="-1"/>
          <w:sz w:val="24"/>
        </w:rPr>
        <w:t xml:space="preserve"> </w:t>
      </w:r>
      <w:r w:rsidR="008617A3" w:rsidRPr="00311975">
        <w:rPr>
          <w:spacing w:val="-5"/>
          <w:sz w:val="24"/>
        </w:rPr>
        <w:t>and</w:t>
      </w:r>
    </w:p>
    <w:p w14:paraId="76ED9150" w14:textId="77777777" w:rsidR="00311975" w:rsidRPr="00311975" w:rsidRDefault="00311975" w:rsidP="00311975">
      <w:pPr>
        <w:tabs>
          <w:tab w:val="left" w:pos="1540"/>
        </w:tabs>
        <w:rPr>
          <w:sz w:val="24"/>
        </w:rPr>
      </w:pPr>
    </w:p>
    <w:p w14:paraId="3DE3556A" w14:textId="2506B640" w:rsidR="00256F4E" w:rsidRPr="00311975" w:rsidRDefault="00311975" w:rsidP="00311975">
      <w:pPr>
        <w:tabs>
          <w:tab w:val="left" w:pos="1540"/>
        </w:tabs>
        <w:rPr>
          <w:sz w:val="24"/>
        </w:rPr>
      </w:pPr>
      <w:r>
        <w:rPr>
          <w:sz w:val="24"/>
        </w:rPr>
        <w:t xml:space="preserve">              </w:t>
      </w:r>
      <w:r w:rsidR="008617A3" w:rsidRPr="00311975">
        <w:rPr>
          <w:sz w:val="24"/>
        </w:rPr>
        <w:t>Third,</w:t>
      </w:r>
      <w:r w:rsidR="008617A3" w:rsidRPr="00311975">
        <w:rPr>
          <w:spacing w:val="-4"/>
          <w:sz w:val="24"/>
        </w:rPr>
        <w:t xml:space="preserve"> </w:t>
      </w:r>
      <w:r w:rsidR="008617A3" w:rsidRPr="00311975">
        <w:rPr>
          <w:sz w:val="24"/>
        </w:rPr>
        <w:t>the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defendant’s</w:t>
      </w:r>
      <w:r w:rsidR="008617A3" w:rsidRPr="00311975">
        <w:rPr>
          <w:spacing w:val="-4"/>
          <w:sz w:val="24"/>
        </w:rPr>
        <w:t xml:space="preserve"> </w:t>
      </w:r>
      <w:r w:rsidR="008617A3" w:rsidRPr="00311975">
        <w:rPr>
          <w:sz w:val="24"/>
        </w:rPr>
        <w:t>negligence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was</w:t>
      </w:r>
      <w:r w:rsidR="008617A3" w:rsidRPr="00311975">
        <w:rPr>
          <w:spacing w:val="-2"/>
          <w:sz w:val="24"/>
        </w:rPr>
        <w:t xml:space="preserve"> </w:t>
      </w:r>
      <w:r w:rsidR="008617A3" w:rsidRPr="00311975">
        <w:rPr>
          <w:sz w:val="24"/>
        </w:rPr>
        <w:t>a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cause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of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the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injury</w:t>
      </w:r>
      <w:r w:rsidR="008617A3" w:rsidRPr="00311975">
        <w:rPr>
          <w:spacing w:val="-4"/>
          <w:sz w:val="24"/>
        </w:rPr>
        <w:t xml:space="preserve"> </w:t>
      </w:r>
      <w:r w:rsidR="008617A3" w:rsidRPr="00311975">
        <w:rPr>
          <w:sz w:val="24"/>
        </w:rPr>
        <w:t>or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damage</w:t>
      </w:r>
      <w:r w:rsidR="008617A3" w:rsidRPr="00311975">
        <w:rPr>
          <w:spacing w:val="-5"/>
          <w:sz w:val="24"/>
        </w:rPr>
        <w:t xml:space="preserve"> </w:t>
      </w:r>
      <w:r w:rsidR="008617A3" w:rsidRPr="00311975">
        <w:rPr>
          <w:sz w:val="24"/>
        </w:rPr>
        <w:t>to</w:t>
      </w:r>
      <w:r w:rsidR="008617A3" w:rsidRPr="00311975">
        <w:rPr>
          <w:spacing w:val="-4"/>
          <w:sz w:val="24"/>
        </w:rPr>
        <w:t xml:space="preserve"> </w:t>
      </w:r>
      <w:r w:rsidR="008617A3" w:rsidRPr="00311975">
        <w:rPr>
          <w:sz w:val="24"/>
        </w:rPr>
        <w:t xml:space="preserve">the </w:t>
      </w:r>
      <w:r w:rsidR="008617A3" w:rsidRPr="00311975">
        <w:rPr>
          <w:spacing w:val="-2"/>
          <w:sz w:val="24"/>
        </w:rPr>
        <w:t>plaintiff.</w:t>
      </w:r>
    </w:p>
    <w:p w14:paraId="3DE3556B" w14:textId="77777777" w:rsidR="00256F4E" w:rsidRDefault="00256F4E">
      <w:pPr>
        <w:pStyle w:val="BodyText"/>
      </w:pPr>
    </w:p>
    <w:p w14:paraId="3DE3556C" w14:textId="77777777" w:rsidR="00256F4E" w:rsidRDefault="008617A3">
      <w:pPr>
        <w:pStyle w:val="BodyText"/>
        <w:ind w:left="100" w:right="507" w:firstLine="720"/>
        <w:jc w:val="both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plaintiff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[he]</w:t>
      </w:r>
      <w:r>
        <w:rPr>
          <w:spacing w:val="-2"/>
        </w:rPr>
        <w:t xml:space="preserve"> </w:t>
      </w:r>
      <w:r>
        <w:t>[she]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 proof,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verdict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plaintiff.</w:t>
      </w:r>
      <w:r>
        <w:rPr>
          <w:spacing w:val="40"/>
        </w:rPr>
        <w:t xml:space="preserve"> </w:t>
      </w:r>
      <w:r>
        <w:t>If,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hand,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plaintiff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to prove any of these elements, your verdict should be for the defendant.</w:t>
      </w:r>
    </w:p>
    <w:p w14:paraId="3DE3556D" w14:textId="77777777" w:rsidR="00256F4E" w:rsidRDefault="00256F4E">
      <w:pPr>
        <w:pStyle w:val="BodyText"/>
      </w:pPr>
    </w:p>
    <w:p w14:paraId="3DE3556E" w14:textId="77777777" w:rsidR="00256F4E" w:rsidRPr="008617A3" w:rsidRDefault="008617A3" w:rsidP="008617A3">
      <w:pPr>
        <w:jc w:val="center"/>
        <w:rPr>
          <w:b/>
          <w:bCs/>
          <w:sz w:val="24"/>
          <w:szCs w:val="24"/>
        </w:rPr>
      </w:pPr>
      <w:r w:rsidRPr="008617A3">
        <w:rPr>
          <w:b/>
          <w:bCs/>
          <w:sz w:val="24"/>
          <w:szCs w:val="24"/>
        </w:rPr>
        <w:t>Comment</w:t>
      </w:r>
    </w:p>
    <w:p w14:paraId="3DE3556F" w14:textId="77777777" w:rsidR="00256F4E" w:rsidRDefault="00256F4E">
      <w:pPr>
        <w:pStyle w:val="BodyText"/>
        <w:rPr>
          <w:b/>
        </w:rPr>
      </w:pPr>
    </w:p>
    <w:p w14:paraId="3DE35570" w14:textId="77777777" w:rsidR="00256F4E" w:rsidRDefault="008617A3">
      <w:pPr>
        <w:pStyle w:val="BodyText"/>
        <w:ind w:left="100" w:right="102" w:firstLine="720"/>
      </w:pPr>
      <w:r>
        <w:t>For a discussion of the elements of a Jones</w:t>
      </w:r>
      <w:r>
        <w:rPr>
          <w:spacing w:val="-5"/>
        </w:rPr>
        <w:t xml:space="preserve"> </w:t>
      </w:r>
      <w:r>
        <w:t xml:space="preserve">Act negligence claim, </w:t>
      </w:r>
      <w:r>
        <w:rPr>
          <w:i/>
        </w:rPr>
        <w:t>see In re Hechinger</w:t>
      </w:r>
      <w:r>
        <w:t>, 890</w:t>
      </w:r>
      <w:r>
        <w:rPr>
          <w:spacing w:val="-7"/>
        </w:rPr>
        <w:t xml:space="preserve"> </w:t>
      </w:r>
      <w:r>
        <w:t>F.2d</w:t>
      </w:r>
      <w:r>
        <w:rPr>
          <w:spacing w:val="-6"/>
        </w:rPr>
        <w:t xml:space="preserve"> </w:t>
      </w:r>
      <w:r>
        <w:t>202,</w:t>
      </w:r>
      <w:r>
        <w:rPr>
          <w:spacing w:val="-6"/>
        </w:rPr>
        <w:t xml:space="preserve"> </w:t>
      </w:r>
      <w:r>
        <w:t>208</w:t>
      </w:r>
      <w:r>
        <w:rPr>
          <w:spacing w:val="-6"/>
        </w:rPr>
        <w:t xml:space="preserve"> </w:t>
      </w:r>
      <w:r>
        <w:t>(9th</w:t>
      </w:r>
      <w:r>
        <w:rPr>
          <w:spacing w:val="-6"/>
        </w:rPr>
        <w:t xml:space="preserve"> </w:t>
      </w:r>
      <w:r>
        <w:t>Cir.</w:t>
      </w:r>
      <w:r>
        <w:rPr>
          <w:spacing w:val="-6"/>
        </w:rPr>
        <w:t xml:space="preserve"> </w:t>
      </w:r>
      <w:r>
        <w:t>1989)</w:t>
      </w:r>
      <w:r>
        <w:rPr>
          <w:spacing w:val="-7"/>
        </w:rPr>
        <w:t xml:space="preserve"> </w:t>
      </w:r>
      <w:r>
        <w:t>(“To</w:t>
      </w:r>
      <w:r>
        <w:rPr>
          <w:spacing w:val="-6"/>
        </w:rPr>
        <w:t xml:space="preserve"> </w:t>
      </w:r>
      <w:r>
        <w:t>recover</w:t>
      </w:r>
      <w:r>
        <w:rPr>
          <w:spacing w:val="-7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Jones</w:t>
      </w:r>
      <w:r>
        <w:rPr>
          <w:spacing w:val="-1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claim,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plaintiff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burden of establishing by a preponderance of the evidence, negligence on the part of his employer . . . [and] that the act of negligence was a cause, however slight, of his injuries.” (quotations and citation omitted)).</w:t>
      </w:r>
      <w:r>
        <w:rPr>
          <w:spacing w:val="40"/>
        </w:rPr>
        <w:t xml:space="preserve"> </w:t>
      </w:r>
      <w:r>
        <w:rPr>
          <w:i/>
        </w:rPr>
        <w:t>See also Mohn v. Marla Marie, Inc.</w:t>
      </w:r>
      <w:r>
        <w:t>, 625 F.2d 900, 901-02 (9th Cir. 1980) (distinguishing between Jones</w:t>
      </w:r>
      <w:r>
        <w:rPr>
          <w:spacing w:val="-10"/>
        </w:rPr>
        <w:t xml:space="preserve"> </w:t>
      </w:r>
      <w:r>
        <w:t>Act negligence claim and unseaworthiness claim).</w:t>
      </w:r>
      <w:r>
        <w:rPr>
          <w:spacing w:val="40"/>
        </w:rPr>
        <w:t xml:space="preserve"> </w:t>
      </w:r>
      <w:r>
        <w:t>The Jones</w:t>
      </w:r>
      <w:r>
        <w:rPr>
          <w:spacing w:val="-7"/>
        </w:rPr>
        <w:t xml:space="preserve"> </w:t>
      </w:r>
      <w:r>
        <w:t>Act extends to a seaman the statutory rights accorded railway employees under the Federal Employers’</w:t>
      </w:r>
      <w:r>
        <w:rPr>
          <w:spacing w:val="-12"/>
        </w:rPr>
        <w:t xml:space="preserve"> </w:t>
      </w:r>
      <w:r>
        <w:t>Liability</w:t>
      </w:r>
      <w:r>
        <w:rPr>
          <w:spacing w:val="-9"/>
        </w:rPr>
        <w:t xml:space="preserve"> </w:t>
      </w:r>
      <w:r>
        <w:t xml:space="preserve">Act (FELA), 45 U.S.C. § 51, </w:t>
      </w:r>
      <w:r>
        <w:rPr>
          <w:i/>
        </w:rPr>
        <w:t>et seq</w:t>
      </w:r>
      <w:r>
        <w:t>., and courts may look to cases decided under FELA</w:t>
      </w:r>
      <w:r>
        <w:rPr>
          <w:spacing w:val="-10"/>
        </w:rPr>
        <w:t xml:space="preserve"> </w:t>
      </w:r>
      <w:r>
        <w:t>in construing the Jones</w:t>
      </w:r>
      <w:r>
        <w:rPr>
          <w:spacing w:val="-12"/>
        </w:rPr>
        <w:t xml:space="preserve"> </w:t>
      </w:r>
      <w:r>
        <w:t>Act.</w:t>
      </w:r>
      <w:r>
        <w:rPr>
          <w:spacing w:val="40"/>
        </w:rPr>
        <w:t xml:space="preserve"> </w:t>
      </w:r>
      <w:r>
        <w:rPr>
          <w:i/>
        </w:rPr>
        <w:t>Lies v. Farrell Lines, Inc.</w:t>
      </w:r>
      <w:r>
        <w:t>, 641 F.2d 765, 770 (9th Cir. 1981).</w:t>
      </w:r>
      <w:r>
        <w:rPr>
          <w:spacing w:val="40"/>
        </w:rPr>
        <w:t xml:space="preserve"> </w:t>
      </w:r>
      <w:r>
        <w:t>For FELA</w:t>
      </w:r>
      <w:r>
        <w:rPr>
          <w:spacing w:val="-3"/>
        </w:rPr>
        <w:t xml:space="preserve"> </w:t>
      </w:r>
      <w:r>
        <w:t xml:space="preserve">instructions, </w:t>
      </w:r>
      <w:r>
        <w:rPr>
          <w:i/>
        </w:rPr>
        <w:t xml:space="preserve">see </w:t>
      </w:r>
      <w:r>
        <w:t>Chapter 6 (“Federal Employers’</w:t>
      </w:r>
      <w:r>
        <w:rPr>
          <w:spacing w:val="-9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Act”).</w:t>
      </w:r>
    </w:p>
    <w:p w14:paraId="1671B80B" w14:textId="77777777" w:rsidR="008617A3" w:rsidRDefault="008617A3">
      <w:pPr>
        <w:pStyle w:val="BodyText"/>
        <w:ind w:left="100" w:right="102" w:firstLine="720"/>
      </w:pPr>
    </w:p>
    <w:p w14:paraId="70DFD042" w14:textId="77777777" w:rsidR="008617A3" w:rsidRDefault="008617A3">
      <w:pPr>
        <w:pStyle w:val="BodyText"/>
        <w:ind w:left="100" w:right="102" w:firstLine="720"/>
      </w:pPr>
    </w:p>
    <w:p w14:paraId="0BBCDEBC" w14:textId="77777777" w:rsidR="008617A3" w:rsidRPr="008617A3" w:rsidRDefault="008617A3" w:rsidP="00873295">
      <w:pPr>
        <w:pStyle w:val="BodyText"/>
        <w:ind w:left="100" w:right="102" w:firstLine="720"/>
        <w:jc w:val="right"/>
        <w:rPr>
          <w:i/>
          <w:iCs/>
        </w:rPr>
      </w:pPr>
      <w:r w:rsidRPr="008617A3">
        <w:rPr>
          <w:i/>
          <w:iCs/>
        </w:rPr>
        <w:t>Revised March 2025</w:t>
      </w:r>
    </w:p>
    <w:p w14:paraId="6372E6DF" w14:textId="77777777" w:rsidR="008617A3" w:rsidRDefault="008617A3">
      <w:pPr>
        <w:pStyle w:val="BodyText"/>
        <w:ind w:left="100" w:right="102" w:firstLine="720"/>
      </w:pPr>
    </w:p>
    <w:sectPr w:rsidR="008617A3">
      <w:type w:val="continuous"/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E6461"/>
    <w:multiLevelType w:val="hybridMultilevel"/>
    <w:tmpl w:val="5EAA0378"/>
    <w:lvl w:ilvl="0" w:tplc="75B63F8A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8D3"/>
        <w:spacing w:val="0"/>
        <w:w w:val="100"/>
        <w:sz w:val="24"/>
        <w:szCs w:val="24"/>
        <w:lang w:val="en-US" w:eastAsia="en-US" w:bidi="ar-SA"/>
      </w:rPr>
    </w:lvl>
    <w:lvl w:ilvl="1" w:tplc="FBD856DC">
      <w:numFmt w:val="bullet"/>
      <w:lvlText w:val="•"/>
      <w:lvlJc w:val="left"/>
      <w:pPr>
        <w:ind w:left="2342" w:hanging="720"/>
      </w:pPr>
      <w:rPr>
        <w:rFonts w:hint="default"/>
        <w:lang w:val="en-US" w:eastAsia="en-US" w:bidi="ar-SA"/>
      </w:rPr>
    </w:lvl>
    <w:lvl w:ilvl="2" w:tplc="97E80A08"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3" w:tplc="1F2A1510"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 w:tplc="4E849236"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 w:tplc="94DE92A2"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plc="EF509644"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7" w:tplc="46ACA828">
      <w:numFmt w:val="bullet"/>
      <w:lvlText w:val="•"/>
      <w:lvlJc w:val="left"/>
      <w:pPr>
        <w:ind w:left="7154" w:hanging="720"/>
      </w:pPr>
      <w:rPr>
        <w:rFonts w:hint="default"/>
        <w:lang w:val="en-US" w:eastAsia="en-US" w:bidi="ar-SA"/>
      </w:rPr>
    </w:lvl>
    <w:lvl w:ilvl="8" w:tplc="977E492A">
      <w:numFmt w:val="bullet"/>
      <w:lvlText w:val="•"/>
      <w:lvlJc w:val="left"/>
      <w:pPr>
        <w:ind w:left="7956" w:hanging="720"/>
      </w:pPr>
      <w:rPr>
        <w:rFonts w:hint="default"/>
        <w:lang w:val="en-US" w:eastAsia="en-US" w:bidi="ar-SA"/>
      </w:rPr>
    </w:lvl>
  </w:abstractNum>
  <w:num w:numId="1" w16cid:durableId="178765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6F4E"/>
    <w:rsid w:val="00256F4E"/>
    <w:rsid w:val="0030701B"/>
    <w:rsid w:val="00311975"/>
    <w:rsid w:val="00783EA9"/>
    <w:rsid w:val="008617A3"/>
    <w:rsid w:val="00873295"/>
    <w:rsid w:val="008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5562"/>
  <w15:docId w15:val="{A340B927-B9DE-44F2-A33E-C5828893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617A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>United States Courts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4</cp:revision>
  <dcterms:created xsi:type="dcterms:W3CDTF">2025-04-23T21:09:00Z</dcterms:created>
  <dcterms:modified xsi:type="dcterms:W3CDTF">2025-04-24T17:28:00Z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