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6CAF" w14:textId="0481CAAC" w:rsidR="00D31729" w:rsidRDefault="00E144D2">
      <w:pPr>
        <w:pStyle w:val="Heading1"/>
        <w:spacing w:before="79"/>
        <w:ind w:left="1732"/>
      </w:pPr>
      <w:r>
        <w:t>7.5</w:t>
      </w:r>
      <w:r>
        <w:rPr>
          <w:spacing w:val="-5"/>
        </w:rPr>
        <w:t xml:space="preserve"> </w:t>
      </w:r>
      <w:r>
        <w:t>Unseaworthiness</w:t>
      </w:r>
      <w:r>
        <w:rPr>
          <w:spacing w:val="-3"/>
        </w:rPr>
        <w:t xml:space="preserve"> </w:t>
      </w:r>
      <w:r>
        <w:t>Claim—Elements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Proof</w:t>
      </w:r>
    </w:p>
    <w:p w14:paraId="325C6CB0" w14:textId="77777777" w:rsidR="00D31729" w:rsidRDefault="00D31729">
      <w:pPr>
        <w:pStyle w:val="BodyText"/>
        <w:rPr>
          <w:b/>
        </w:rPr>
      </w:pPr>
    </w:p>
    <w:p w14:paraId="325C6CB1" w14:textId="77777777" w:rsidR="00D31729" w:rsidRDefault="00E144D2">
      <w:pPr>
        <w:pStyle w:val="BodyText"/>
        <w:ind w:left="119" w:firstLine="720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plaintiff’s</w:t>
      </w:r>
      <w:r>
        <w:rPr>
          <w:spacing w:val="-4"/>
        </w:rPr>
        <w:t xml:space="preserve"> </w:t>
      </w:r>
      <w:r>
        <w:t>unseaworthiness</w:t>
      </w:r>
      <w:r>
        <w:rPr>
          <w:spacing w:val="-4"/>
        </w:rPr>
        <w:t xml:space="preserve"> </w:t>
      </w:r>
      <w:r>
        <w:t>claim,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plaintiff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proving</w:t>
      </w:r>
      <w:r>
        <w:rPr>
          <w:spacing w:val="-4"/>
        </w:rPr>
        <w:t xml:space="preserve"> </w:t>
      </w:r>
      <w:r>
        <w:t>the following elements by a preponderance of the evidence:</w:t>
      </w:r>
    </w:p>
    <w:p w14:paraId="325C6CB2" w14:textId="77777777" w:rsidR="00D31729" w:rsidRDefault="00D31729">
      <w:pPr>
        <w:pStyle w:val="BodyText"/>
      </w:pPr>
    </w:p>
    <w:p w14:paraId="325C6CB3" w14:textId="3939D2FE" w:rsidR="00D31729" w:rsidRPr="003857A8" w:rsidRDefault="003857A8" w:rsidP="003857A8">
      <w:pPr>
        <w:tabs>
          <w:tab w:val="left" w:pos="1559"/>
        </w:tabs>
        <w:rPr>
          <w:sz w:val="24"/>
        </w:rPr>
      </w:pPr>
      <w:r>
        <w:rPr>
          <w:sz w:val="24"/>
        </w:rPr>
        <w:tab/>
      </w:r>
      <w:r w:rsidR="00E144D2" w:rsidRPr="003857A8">
        <w:rPr>
          <w:sz w:val="24"/>
        </w:rPr>
        <w:t>First,</w:t>
      </w:r>
      <w:r w:rsidR="00E144D2" w:rsidRPr="003857A8">
        <w:rPr>
          <w:spacing w:val="-3"/>
          <w:sz w:val="24"/>
        </w:rPr>
        <w:t xml:space="preserve"> </w:t>
      </w:r>
      <w:r w:rsidR="00E144D2" w:rsidRPr="003857A8">
        <w:rPr>
          <w:sz w:val="24"/>
        </w:rPr>
        <w:t>the</w:t>
      </w:r>
      <w:r w:rsidR="00E144D2" w:rsidRPr="003857A8">
        <w:rPr>
          <w:spacing w:val="-2"/>
          <w:sz w:val="24"/>
        </w:rPr>
        <w:t xml:space="preserve"> </w:t>
      </w:r>
      <w:r w:rsidR="00E144D2" w:rsidRPr="003857A8">
        <w:rPr>
          <w:sz w:val="24"/>
        </w:rPr>
        <w:t>plaintiff</w:t>
      </w:r>
      <w:r w:rsidR="00E144D2" w:rsidRPr="003857A8">
        <w:rPr>
          <w:spacing w:val="-3"/>
          <w:sz w:val="24"/>
        </w:rPr>
        <w:t xml:space="preserve"> </w:t>
      </w:r>
      <w:r w:rsidR="00E144D2" w:rsidRPr="003857A8">
        <w:rPr>
          <w:sz w:val="24"/>
        </w:rPr>
        <w:t>was</w:t>
      </w:r>
      <w:r w:rsidR="00E144D2" w:rsidRPr="003857A8">
        <w:rPr>
          <w:spacing w:val="-3"/>
          <w:sz w:val="24"/>
        </w:rPr>
        <w:t xml:space="preserve"> </w:t>
      </w:r>
      <w:r w:rsidR="00E144D2" w:rsidRPr="003857A8">
        <w:rPr>
          <w:sz w:val="24"/>
        </w:rPr>
        <w:t>a</w:t>
      </w:r>
      <w:r w:rsidR="00E144D2" w:rsidRPr="003857A8">
        <w:rPr>
          <w:spacing w:val="-2"/>
          <w:sz w:val="24"/>
        </w:rPr>
        <w:t xml:space="preserve"> </w:t>
      </w:r>
      <w:proofErr w:type="gramStart"/>
      <w:r w:rsidR="00E144D2" w:rsidRPr="003857A8">
        <w:rPr>
          <w:spacing w:val="-2"/>
          <w:sz w:val="24"/>
        </w:rPr>
        <w:t>seaman;</w:t>
      </w:r>
      <w:proofErr w:type="gramEnd"/>
    </w:p>
    <w:p w14:paraId="325C6CB4" w14:textId="77777777" w:rsidR="00D31729" w:rsidRPr="00801894" w:rsidRDefault="00D31729">
      <w:pPr>
        <w:pStyle w:val="BodyText"/>
      </w:pPr>
    </w:p>
    <w:p w14:paraId="325C6CB5" w14:textId="6643342D" w:rsidR="00D31729" w:rsidRPr="00801894" w:rsidRDefault="00E144D2" w:rsidP="00801894">
      <w:pPr>
        <w:pStyle w:val="ListParagraph"/>
        <w:tabs>
          <w:tab w:val="left" w:pos="1559"/>
        </w:tabs>
        <w:ind w:firstLine="0"/>
        <w:rPr>
          <w:sz w:val="24"/>
        </w:rPr>
      </w:pPr>
      <w:r w:rsidRPr="00801894">
        <w:rPr>
          <w:sz w:val="24"/>
        </w:rPr>
        <w:t>Second,</w:t>
      </w:r>
      <w:r w:rsidRPr="00801894">
        <w:rPr>
          <w:spacing w:val="-2"/>
          <w:sz w:val="24"/>
        </w:rPr>
        <w:t xml:space="preserve"> </w:t>
      </w:r>
      <w:r w:rsidRPr="00801894">
        <w:rPr>
          <w:sz w:val="24"/>
        </w:rPr>
        <w:t>the</w:t>
      </w:r>
      <w:r w:rsidRPr="00801894">
        <w:rPr>
          <w:spacing w:val="-2"/>
          <w:sz w:val="24"/>
        </w:rPr>
        <w:t xml:space="preserve"> </w:t>
      </w:r>
      <w:r w:rsidRPr="00801894">
        <w:rPr>
          <w:sz w:val="24"/>
        </w:rPr>
        <w:t>[</w:t>
      </w:r>
      <w:r w:rsidRPr="00801894">
        <w:rPr>
          <w:i/>
          <w:sz w:val="24"/>
          <w:u w:val="single"/>
        </w:rPr>
        <w:t>name</w:t>
      </w:r>
      <w:r w:rsidRPr="00801894">
        <w:rPr>
          <w:i/>
          <w:spacing w:val="-2"/>
          <w:sz w:val="24"/>
          <w:u w:val="single"/>
        </w:rPr>
        <w:t xml:space="preserve"> </w:t>
      </w:r>
      <w:r w:rsidRPr="00801894">
        <w:rPr>
          <w:i/>
          <w:sz w:val="24"/>
          <w:u w:val="single"/>
        </w:rPr>
        <w:t>of</w:t>
      </w:r>
      <w:r w:rsidRPr="00801894">
        <w:rPr>
          <w:i/>
          <w:spacing w:val="-2"/>
          <w:sz w:val="24"/>
          <w:u w:val="single"/>
        </w:rPr>
        <w:t xml:space="preserve"> </w:t>
      </w:r>
      <w:r w:rsidRPr="00801894">
        <w:rPr>
          <w:i/>
          <w:sz w:val="24"/>
          <w:u w:val="single"/>
        </w:rPr>
        <w:t>vessel</w:t>
      </w:r>
      <w:r w:rsidRPr="00801894">
        <w:rPr>
          <w:sz w:val="24"/>
        </w:rPr>
        <w:t>]</w:t>
      </w:r>
      <w:r w:rsidRPr="00801894">
        <w:rPr>
          <w:spacing w:val="-2"/>
          <w:sz w:val="24"/>
        </w:rPr>
        <w:t xml:space="preserve"> </w:t>
      </w:r>
      <w:r w:rsidRPr="00801894">
        <w:rPr>
          <w:sz w:val="24"/>
        </w:rPr>
        <w:t>was</w:t>
      </w:r>
      <w:r w:rsidRPr="00801894">
        <w:rPr>
          <w:spacing w:val="-1"/>
          <w:sz w:val="24"/>
        </w:rPr>
        <w:t xml:space="preserve"> </w:t>
      </w:r>
      <w:r w:rsidRPr="00801894">
        <w:rPr>
          <w:sz w:val="24"/>
        </w:rPr>
        <w:t>unseaworthy;</w:t>
      </w:r>
      <w:r w:rsidRPr="00801894">
        <w:rPr>
          <w:spacing w:val="-1"/>
          <w:sz w:val="24"/>
        </w:rPr>
        <w:t xml:space="preserve"> </w:t>
      </w:r>
      <w:r w:rsidRPr="00801894">
        <w:rPr>
          <w:spacing w:val="-5"/>
          <w:sz w:val="24"/>
        </w:rPr>
        <w:t>and</w:t>
      </w:r>
    </w:p>
    <w:p w14:paraId="325C6CB6" w14:textId="77777777" w:rsidR="00D31729" w:rsidRPr="00801894" w:rsidRDefault="00D31729">
      <w:pPr>
        <w:pStyle w:val="BodyText"/>
      </w:pPr>
    </w:p>
    <w:p w14:paraId="325C6CB7" w14:textId="42C09549" w:rsidR="00D31729" w:rsidRDefault="00E144D2" w:rsidP="00801894">
      <w:pPr>
        <w:pStyle w:val="ListParagraph"/>
        <w:tabs>
          <w:tab w:val="left" w:pos="1560"/>
        </w:tabs>
        <w:ind w:left="1560" w:right="680" w:firstLine="0"/>
        <w:rPr>
          <w:sz w:val="24"/>
        </w:rPr>
      </w:pPr>
      <w:r w:rsidRPr="00801894">
        <w:rPr>
          <w:sz w:val="24"/>
        </w:rPr>
        <w:t>Third,</w:t>
      </w:r>
      <w:r w:rsidRPr="00801894"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unseaworthy</w:t>
      </w:r>
      <w:r>
        <w:rPr>
          <w:spacing w:val="-3"/>
          <w:sz w:val="24"/>
        </w:rPr>
        <w:t xml:space="preserve"> </w:t>
      </w: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plaintiff.</w:t>
      </w:r>
    </w:p>
    <w:p w14:paraId="325C6CB8" w14:textId="77777777" w:rsidR="00D31729" w:rsidRDefault="00D31729">
      <w:pPr>
        <w:pStyle w:val="BodyText"/>
      </w:pPr>
    </w:p>
    <w:p w14:paraId="325C6CB9" w14:textId="77777777" w:rsidR="00D31729" w:rsidRDefault="00E144D2">
      <w:pPr>
        <w:pStyle w:val="BodyText"/>
        <w:ind w:left="120" w:right="104" w:firstLine="72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proved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[he]</w:t>
      </w:r>
      <w:r>
        <w:rPr>
          <w:spacing w:val="-2"/>
        </w:rPr>
        <w:t xml:space="preserve"> </w:t>
      </w:r>
      <w:r>
        <w:t>[she]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 proof, your verdict should be for the plaintiff.</w:t>
      </w:r>
      <w:r>
        <w:rPr>
          <w:spacing w:val="40"/>
        </w:rPr>
        <w:t xml:space="preserve"> </w:t>
      </w:r>
      <w:r>
        <w:t>If, on the other hand, the plaintiff has failed to prove any of these elements, your verdict should be for the defendant.</w:t>
      </w:r>
    </w:p>
    <w:p w14:paraId="325C6CBA" w14:textId="77777777" w:rsidR="00D31729" w:rsidRDefault="00D31729">
      <w:pPr>
        <w:pStyle w:val="BodyText"/>
      </w:pPr>
    </w:p>
    <w:p w14:paraId="325C6CBB" w14:textId="77777777" w:rsidR="00D31729" w:rsidRPr="00086F7C" w:rsidRDefault="00E144D2" w:rsidP="00086F7C">
      <w:pPr>
        <w:jc w:val="center"/>
        <w:rPr>
          <w:b/>
          <w:bCs/>
        </w:rPr>
      </w:pPr>
      <w:r w:rsidRPr="00086F7C">
        <w:rPr>
          <w:b/>
          <w:bCs/>
        </w:rPr>
        <w:t>Comment</w:t>
      </w:r>
    </w:p>
    <w:p w14:paraId="325C6CBC" w14:textId="77777777" w:rsidR="00D31729" w:rsidRDefault="00D31729">
      <w:pPr>
        <w:pStyle w:val="BodyText"/>
        <w:rPr>
          <w:b/>
        </w:rPr>
      </w:pPr>
    </w:p>
    <w:p w14:paraId="325C6CBD" w14:textId="77777777" w:rsidR="00D31729" w:rsidRDefault="00E144D2">
      <w:pPr>
        <w:ind w:left="120" w:right="95" w:firstLine="720"/>
        <w:rPr>
          <w:sz w:val="24"/>
        </w:rPr>
      </w:pPr>
      <w:r>
        <w:rPr>
          <w:sz w:val="24"/>
        </w:rPr>
        <w:t>“A</w:t>
      </w:r>
      <w:r>
        <w:rPr>
          <w:spacing w:val="-11"/>
          <w:sz w:val="24"/>
        </w:rPr>
        <w:t xml:space="preserve"> </w:t>
      </w:r>
      <w:r>
        <w:rPr>
          <w:sz w:val="24"/>
        </w:rPr>
        <w:t>shipowner has an absolute duty to furnish a seaworthy ship.”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Mitchell v. Trawler Racer,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Inc.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362</w:t>
      </w:r>
      <w:r>
        <w:rPr>
          <w:spacing w:val="-2"/>
          <w:sz w:val="24"/>
        </w:rPr>
        <w:t xml:space="preserve"> </w:t>
      </w:r>
      <w:r>
        <w:rPr>
          <w:sz w:val="24"/>
        </w:rPr>
        <w:t>U.S.</w:t>
      </w:r>
      <w:r>
        <w:rPr>
          <w:spacing w:val="-4"/>
          <w:sz w:val="24"/>
        </w:rPr>
        <w:t xml:space="preserve"> </w:t>
      </w:r>
      <w:r>
        <w:rPr>
          <w:sz w:val="24"/>
        </w:rPr>
        <w:t>539,</w:t>
      </w:r>
      <w:r>
        <w:rPr>
          <w:spacing w:val="-4"/>
          <w:sz w:val="24"/>
        </w:rPr>
        <w:t xml:space="preserve"> </w:t>
      </w:r>
      <w:r>
        <w:rPr>
          <w:sz w:val="24"/>
        </w:rPr>
        <w:t>549</w:t>
      </w:r>
      <w:r>
        <w:rPr>
          <w:spacing w:val="-4"/>
          <w:sz w:val="24"/>
        </w:rPr>
        <w:t xml:space="preserve"> </w:t>
      </w:r>
      <w:r>
        <w:rPr>
          <w:sz w:val="24"/>
        </w:rPr>
        <w:t>(1960).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seaworthy</w:t>
      </w:r>
      <w:r>
        <w:rPr>
          <w:spacing w:val="-4"/>
          <w:sz w:val="24"/>
        </w:rPr>
        <w:t xml:space="preserve"> </w:t>
      </w:r>
      <w:r>
        <w:rPr>
          <w:sz w:val="24"/>
        </w:rPr>
        <w:t>ship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reasonably</w:t>
      </w:r>
      <w:r>
        <w:rPr>
          <w:spacing w:val="-4"/>
          <w:sz w:val="24"/>
        </w:rPr>
        <w:t xml:space="preserve"> </w:t>
      </w:r>
      <w:r>
        <w:rPr>
          <w:sz w:val="24"/>
        </w:rPr>
        <w:t>fit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intended use.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Id.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550;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Ribitzki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Canmar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Bates,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Ltd.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P’ship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111</w:t>
      </w:r>
      <w:r>
        <w:rPr>
          <w:spacing w:val="-4"/>
          <w:sz w:val="24"/>
        </w:rPr>
        <w:t xml:space="preserve"> </w:t>
      </w:r>
      <w:r>
        <w:rPr>
          <w:sz w:val="24"/>
        </w:rPr>
        <w:t>F.3d</w:t>
      </w:r>
      <w:r>
        <w:rPr>
          <w:spacing w:val="-4"/>
          <w:sz w:val="24"/>
        </w:rPr>
        <w:t xml:space="preserve"> </w:t>
      </w:r>
      <w:r>
        <w:rPr>
          <w:sz w:val="24"/>
        </w:rPr>
        <w:t>658,</w:t>
      </w:r>
      <w:r>
        <w:rPr>
          <w:spacing w:val="-4"/>
          <w:sz w:val="24"/>
        </w:rPr>
        <w:t xml:space="preserve"> </w:t>
      </w:r>
      <w:r>
        <w:rPr>
          <w:sz w:val="24"/>
        </w:rPr>
        <w:t>664</w:t>
      </w:r>
      <w:r>
        <w:rPr>
          <w:spacing w:val="-4"/>
          <w:sz w:val="24"/>
        </w:rPr>
        <w:t xml:space="preserve"> </w:t>
      </w:r>
      <w:r>
        <w:rPr>
          <w:sz w:val="24"/>
        </w:rPr>
        <w:t>(9th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Cir. </w:t>
      </w:r>
      <w:r>
        <w:rPr>
          <w:spacing w:val="-2"/>
          <w:sz w:val="24"/>
        </w:rPr>
        <w:t>1997).</w:t>
      </w:r>
    </w:p>
    <w:p w14:paraId="325C6CBE" w14:textId="77777777" w:rsidR="00D31729" w:rsidRDefault="00D31729">
      <w:pPr>
        <w:pStyle w:val="BodyText"/>
      </w:pPr>
    </w:p>
    <w:p w14:paraId="325C6CBF" w14:textId="77777777" w:rsidR="00D31729" w:rsidRDefault="00E144D2">
      <w:pPr>
        <w:pStyle w:val="BodyText"/>
        <w:ind w:left="840"/>
        <w:rPr>
          <w:spacing w:val="-2"/>
        </w:rPr>
      </w:pP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7.6</w:t>
      </w:r>
      <w:r>
        <w:rPr>
          <w:spacing w:val="-1"/>
        </w:rPr>
        <w:t xml:space="preserve"> </w:t>
      </w:r>
      <w:r>
        <w:t>(Unseaworthiness</w:t>
      </w:r>
      <w:r>
        <w:rPr>
          <w:spacing w:val="-1"/>
        </w:rPr>
        <w:t xml:space="preserve"> </w:t>
      </w:r>
      <w:r>
        <w:rPr>
          <w:spacing w:val="-2"/>
        </w:rPr>
        <w:t>Defined).</w:t>
      </w:r>
    </w:p>
    <w:p w14:paraId="100A83A4" w14:textId="77777777" w:rsidR="00086F7C" w:rsidRDefault="00086F7C">
      <w:pPr>
        <w:pStyle w:val="BodyText"/>
        <w:ind w:left="840"/>
      </w:pPr>
    </w:p>
    <w:p w14:paraId="1A3DB830" w14:textId="77777777" w:rsidR="00086F7C" w:rsidRDefault="00086F7C">
      <w:pPr>
        <w:pStyle w:val="BodyText"/>
        <w:ind w:left="840"/>
      </w:pPr>
    </w:p>
    <w:p w14:paraId="3C9C34ED" w14:textId="77777777" w:rsidR="00E144D2" w:rsidRPr="00E144D2" w:rsidRDefault="00E144D2" w:rsidP="009D0D4A">
      <w:pPr>
        <w:pStyle w:val="BodyText"/>
        <w:ind w:left="840"/>
        <w:jc w:val="right"/>
        <w:rPr>
          <w:i/>
          <w:iCs/>
        </w:rPr>
      </w:pPr>
      <w:r w:rsidRPr="00E144D2">
        <w:rPr>
          <w:i/>
          <w:iCs/>
        </w:rPr>
        <w:t>Revised March 2025</w:t>
      </w:r>
    </w:p>
    <w:p w14:paraId="5BE20866" w14:textId="77777777" w:rsidR="00086F7C" w:rsidRDefault="00086F7C">
      <w:pPr>
        <w:pStyle w:val="BodyText"/>
        <w:ind w:left="840"/>
      </w:pPr>
    </w:p>
    <w:sectPr w:rsidR="00086F7C">
      <w:type w:val="continuous"/>
      <w:pgSz w:w="12240" w:h="15840"/>
      <w:pgMar w:top="136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21DAC"/>
    <w:multiLevelType w:val="hybridMultilevel"/>
    <w:tmpl w:val="20664FC0"/>
    <w:lvl w:ilvl="0" w:tplc="E64C9E96">
      <w:start w:val="1"/>
      <w:numFmt w:val="decimal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8D3"/>
        <w:spacing w:val="0"/>
        <w:w w:val="100"/>
        <w:sz w:val="24"/>
        <w:szCs w:val="24"/>
        <w:lang w:val="en-US" w:eastAsia="en-US" w:bidi="ar-SA"/>
      </w:rPr>
    </w:lvl>
    <w:lvl w:ilvl="1" w:tplc="8D7E8FB4"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2" w:tplc="5E14A3B6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053C4BF4">
      <w:numFmt w:val="bullet"/>
      <w:lvlText w:val="•"/>
      <w:lvlJc w:val="left"/>
      <w:pPr>
        <w:ind w:left="3936" w:hanging="720"/>
      </w:pPr>
      <w:rPr>
        <w:rFonts w:hint="default"/>
        <w:lang w:val="en-US" w:eastAsia="en-US" w:bidi="ar-SA"/>
      </w:rPr>
    </w:lvl>
    <w:lvl w:ilvl="4" w:tplc="2D4C12FA"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 w:tplc="849864C4"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 w:tplc="26529756">
      <w:numFmt w:val="bullet"/>
      <w:lvlText w:val="•"/>
      <w:lvlJc w:val="left"/>
      <w:pPr>
        <w:ind w:left="6312" w:hanging="720"/>
      </w:pPr>
      <w:rPr>
        <w:rFonts w:hint="default"/>
        <w:lang w:val="en-US" w:eastAsia="en-US" w:bidi="ar-SA"/>
      </w:rPr>
    </w:lvl>
    <w:lvl w:ilvl="7" w:tplc="5902129E">
      <w:numFmt w:val="bullet"/>
      <w:lvlText w:val="•"/>
      <w:lvlJc w:val="left"/>
      <w:pPr>
        <w:ind w:left="7104" w:hanging="720"/>
      </w:pPr>
      <w:rPr>
        <w:rFonts w:hint="default"/>
        <w:lang w:val="en-US" w:eastAsia="en-US" w:bidi="ar-SA"/>
      </w:rPr>
    </w:lvl>
    <w:lvl w:ilvl="8" w:tplc="B79431D8"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</w:abstractNum>
  <w:num w:numId="1" w16cid:durableId="167930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729"/>
    <w:rsid w:val="00086F7C"/>
    <w:rsid w:val="003857A8"/>
    <w:rsid w:val="00394A86"/>
    <w:rsid w:val="003A0C4E"/>
    <w:rsid w:val="00801894"/>
    <w:rsid w:val="009D0D4A"/>
    <w:rsid w:val="00C40D31"/>
    <w:rsid w:val="00D31729"/>
    <w:rsid w:val="00E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6CAF"/>
  <w15:docId w15:val="{0786C3FD-72F2-4559-A7C6-50EF7690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144D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>United States Courts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6</cp:revision>
  <dcterms:created xsi:type="dcterms:W3CDTF">2025-04-23T21:12:00Z</dcterms:created>
  <dcterms:modified xsi:type="dcterms:W3CDTF">2025-04-24T20:08:00Z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