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B5F9B" w14:textId="77777777" w:rsidR="00EE270C" w:rsidRDefault="0028696D" w:rsidP="0028696D">
      <w:pPr>
        <w:pStyle w:val="Heading2"/>
      </w:pPr>
      <w:r>
        <w:t xml:space="preserve">8.143A HOBBS ACT—ROBBERY OR ATTEMPTED ROBBERY  </w:t>
      </w:r>
    </w:p>
    <w:p w14:paraId="75E84F0A" w14:textId="483653D8" w:rsidR="0028696D" w:rsidRDefault="0028696D" w:rsidP="0028696D">
      <w:pPr>
        <w:pStyle w:val="Heading2"/>
      </w:pPr>
      <w:r>
        <w:t>(18 U.S.C. § 1951)</w:t>
      </w:r>
    </w:p>
    <w:p w14:paraId="6C2D37A1" w14:textId="77777777" w:rsidR="0028696D" w:rsidRDefault="0028696D" w:rsidP="0028696D">
      <w:pPr>
        <w:rPr>
          <w:color w:val="000000"/>
        </w:rPr>
      </w:pPr>
    </w:p>
    <w:p w14:paraId="1DBC0537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 xml:space="preserve">The defendant is charged in [Count ______ of] the indictment with [attempted] robbery in violation of Section 1951 of Title 18 of the United States Code. </w:t>
      </w:r>
      <w:proofErr w:type="gramStart"/>
      <w:r>
        <w:rPr>
          <w:color w:val="000000"/>
        </w:rPr>
        <w:t>In order for</w:t>
      </w:r>
      <w:proofErr w:type="gramEnd"/>
      <w:r>
        <w:rPr>
          <w:color w:val="000000"/>
        </w:rPr>
        <w:t xml:space="preserve"> the defendant to be found guilty of that charge, the government must prove each of the following elements beyond a reasonable doubt:</w:t>
      </w:r>
    </w:p>
    <w:p w14:paraId="5120CDD8" w14:textId="77777777" w:rsidR="0028696D" w:rsidRDefault="0028696D" w:rsidP="0028696D">
      <w:pPr>
        <w:rPr>
          <w:color w:val="000000"/>
        </w:rPr>
      </w:pPr>
    </w:p>
    <w:p w14:paraId="7285C084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ab/>
        <w:t>First, the defendant knowingly [obtained] [attempted to obtain] money or property from or in the presence of [</w:t>
      </w:r>
      <w:r>
        <w:rPr>
          <w:i/>
          <w:color w:val="000000"/>
          <w:u w:val="single"/>
        </w:rPr>
        <w:t>name of victim</w:t>
      </w:r>
      <w:proofErr w:type="gramStart"/>
      <w:r>
        <w:rPr>
          <w:color w:val="000000"/>
        </w:rPr>
        <w:t>];</w:t>
      </w:r>
      <w:proofErr w:type="gramEnd"/>
    </w:p>
    <w:p w14:paraId="10377B1F" w14:textId="77777777" w:rsidR="0028696D" w:rsidRDefault="0028696D" w:rsidP="0028696D">
      <w:pPr>
        <w:rPr>
          <w:color w:val="000000"/>
        </w:rPr>
      </w:pPr>
    </w:p>
    <w:p w14:paraId="3B7B0EC8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ab/>
        <w:t xml:space="preserve">Second, the defendant [did so] [attempted to do so] by means of </w:t>
      </w:r>
      <w:proofErr w:type="gramStart"/>
      <w:r>
        <w:rPr>
          <w:color w:val="000000"/>
        </w:rPr>
        <w:t>robbery;</w:t>
      </w:r>
      <w:proofErr w:type="gramEnd"/>
    </w:p>
    <w:p w14:paraId="7AF2E32C" w14:textId="77777777" w:rsidR="0028696D" w:rsidRDefault="0028696D" w:rsidP="0028696D">
      <w:pPr>
        <w:rPr>
          <w:color w:val="000000"/>
        </w:rPr>
      </w:pPr>
    </w:p>
    <w:p w14:paraId="53020AFD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ab/>
        <w:t>Third, the defendant believed that [</w:t>
      </w:r>
      <w:r>
        <w:rPr>
          <w:i/>
          <w:color w:val="000000"/>
          <w:u w:val="single"/>
        </w:rPr>
        <w:t>name of victim</w:t>
      </w:r>
      <w:r>
        <w:rPr>
          <w:color w:val="000000"/>
        </w:rPr>
        <w:t>] [parted] [would part] with the money or property because of the robbery; [and]</w:t>
      </w:r>
    </w:p>
    <w:p w14:paraId="106C7D6E" w14:textId="77777777" w:rsidR="0028696D" w:rsidRDefault="0028696D" w:rsidP="0028696D">
      <w:pPr>
        <w:rPr>
          <w:color w:val="000000"/>
        </w:rPr>
      </w:pPr>
    </w:p>
    <w:p w14:paraId="2D149F8E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ab/>
        <w:t xml:space="preserve">Fourth, the robbery [affected] [would have affected] interstate </w:t>
      </w:r>
      <w:proofErr w:type="gramStart"/>
      <w:r>
        <w:rPr>
          <w:color w:val="000000"/>
        </w:rPr>
        <w:t>commerce[</w:t>
      </w:r>
      <w:proofErr w:type="gramEnd"/>
      <w:r>
        <w:rPr>
          <w:color w:val="000000"/>
        </w:rPr>
        <w:t>; and][.]</w:t>
      </w:r>
    </w:p>
    <w:p w14:paraId="0B39E614" w14:textId="77777777" w:rsidR="0028696D" w:rsidRDefault="0028696D" w:rsidP="0028696D">
      <w:pPr>
        <w:rPr>
          <w:color w:val="000000"/>
        </w:rPr>
      </w:pPr>
    </w:p>
    <w:p w14:paraId="473C386D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ab/>
        <w:t>[Fifth, the defendant did something that was a substantial step toward committing the crime and that strongly corroborated the defendant’s intent to commit the crime.</w:t>
      </w:r>
    </w:p>
    <w:p w14:paraId="6C4D790C" w14:textId="77777777" w:rsidR="0028696D" w:rsidRDefault="0028696D" w:rsidP="0028696D">
      <w:pPr>
        <w:rPr>
          <w:color w:val="000000"/>
        </w:rPr>
      </w:pPr>
    </w:p>
    <w:p w14:paraId="7329BE30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ab/>
        <w:t>Mere preparation is not a substantial step toward committing the crime.  To constitute a substantial step, a defendant’s act or actions must unequivocally demonstrate that the crime will take place unless interrupted by independent circumstances.</w:t>
      </w:r>
    </w:p>
    <w:p w14:paraId="237228F5" w14:textId="77777777" w:rsidR="0028696D" w:rsidRDefault="0028696D" w:rsidP="0028696D">
      <w:pPr>
        <w:rPr>
          <w:color w:val="000000"/>
        </w:rPr>
      </w:pPr>
    </w:p>
    <w:p w14:paraId="6D99F9AC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ab/>
        <w:t xml:space="preserve">Jurors do not need to agree unanimously as to which </w:t>
      </w:r>
      <w:proofErr w:type="gramStart"/>
      <w:r>
        <w:rPr>
          <w:color w:val="000000"/>
        </w:rPr>
        <w:t>particular act</w:t>
      </w:r>
      <w:proofErr w:type="gramEnd"/>
      <w:r>
        <w:rPr>
          <w:color w:val="000000"/>
        </w:rPr>
        <w:t xml:space="preserve"> or actions constituted a substantial step toward the commission of a crime.]</w:t>
      </w:r>
    </w:p>
    <w:p w14:paraId="470C1DF1" w14:textId="77777777" w:rsidR="0028696D" w:rsidRDefault="0028696D" w:rsidP="0028696D">
      <w:pPr>
        <w:rPr>
          <w:color w:val="000000"/>
        </w:rPr>
      </w:pPr>
    </w:p>
    <w:p w14:paraId="36E5741A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ab/>
        <w:t>“Robbery” means the unlawful taking or obtaining of personal property from the person or in the presence of another, against his will, by means of actual or threatened force, or violence [or fear of injury, immediate or future, to his person or property, or to property in his custody or possession, or to the person or property of a relative or member of his family or of anyone in his company at the time of the taking or obtaining].</w:t>
      </w:r>
    </w:p>
    <w:p w14:paraId="1BA3E336" w14:textId="77777777" w:rsidR="0028696D" w:rsidRDefault="0028696D" w:rsidP="0028696D">
      <w:pPr>
        <w:rPr>
          <w:color w:val="000000"/>
        </w:rPr>
      </w:pPr>
    </w:p>
    <w:p w14:paraId="79505951" w14:textId="77777777" w:rsidR="0028696D" w:rsidRDefault="0028696D" w:rsidP="0028696D">
      <w:pPr>
        <w:jc w:val="center"/>
        <w:rPr>
          <w:color w:val="000000"/>
        </w:rPr>
      </w:pPr>
      <w:r>
        <w:rPr>
          <w:b/>
          <w:color w:val="000000"/>
        </w:rPr>
        <w:t>Comment</w:t>
      </w:r>
    </w:p>
    <w:p w14:paraId="1A7F7C4D" w14:textId="77777777" w:rsidR="0028696D" w:rsidRDefault="0028696D" w:rsidP="0028696D">
      <w:pPr>
        <w:rPr>
          <w:color w:val="000000"/>
        </w:rPr>
      </w:pPr>
    </w:p>
    <w:p w14:paraId="27D063D3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ab/>
        <w:t>Give the bracketed language appropriate to either a completed crime or an attempt.  Only that portion of the definition of robbery that is relevant to the issues in the trial should be given to the jury.</w:t>
      </w:r>
    </w:p>
    <w:p w14:paraId="009264EE" w14:textId="77777777" w:rsidR="0028696D" w:rsidRDefault="0028696D" w:rsidP="0028696D">
      <w:pPr>
        <w:rPr>
          <w:color w:val="000000"/>
        </w:rPr>
      </w:pPr>
    </w:p>
    <w:p w14:paraId="0B36B8AF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ab/>
        <w:t xml:space="preserve">Only a de minimis effect on interstate commerce is required to establish jurisdiction under the Hobbs Act, and the effect need only be probable or potential, not actual.  </w:t>
      </w:r>
      <w:r>
        <w:rPr>
          <w:i/>
          <w:color w:val="000000"/>
        </w:rPr>
        <w:t>United States v. Lynch</w:t>
      </w:r>
      <w:r>
        <w:rPr>
          <w:color w:val="000000"/>
        </w:rPr>
        <w:t>, 437 F.3d 902, 908-09 (9th Cir. 2006) (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banc).  The interstate nexus may arise from either direct or indirect effects on interstate commerce.  </w:t>
      </w:r>
      <w:r>
        <w:rPr>
          <w:i/>
          <w:color w:val="000000"/>
        </w:rPr>
        <w:t>Id</w:t>
      </w:r>
      <w:r>
        <w:rPr>
          <w:color w:val="000000"/>
        </w:rPr>
        <w:t xml:space="preserve">. at 909-10.  When the effects are only indirect it may be appropriate to measure the adequacy of proof of interstate nexus by applying the test articulated in </w:t>
      </w:r>
      <w:r>
        <w:rPr>
          <w:i/>
          <w:color w:val="000000"/>
        </w:rPr>
        <w:t>United States v. Collins</w:t>
      </w:r>
      <w:r>
        <w:rPr>
          <w:color w:val="000000"/>
        </w:rPr>
        <w:t>, 40 F.3d 95, 100 (5th Cir. 1994).</w:t>
      </w:r>
    </w:p>
    <w:p w14:paraId="4D57CA38" w14:textId="77777777" w:rsidR="0028696D" w:rsidRDefault="0028696D" w:rsidP="0028696D">
      <w:pPr>
        <w:rPr>
          <w:color w:val="000000"/>
        </w:rPr>
      </w:pPr>
    </w:p>
    <w:p w14:paraId="3BF5B7F9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ab/>
        <w:t xml:space="preserve">For a definition of “affecting interstate commerce,” </w:t>
      </w:r>
      <w:r>
        <w:rPr>
          <w:i/>
          <w:color w:val="000000"/>
        </w:rPr>
        <w:t>see</w:t>
      </w:r>
      <w:r>
        <w:rPr>
          <w:color w:val="000000"/>
        </w:rPr>
        <w:t xml:space="preserve"> Instruction 8.143B (Hobbs Act—Affecting Interstate Commerce).  </w:t>
      </w:r>
    </w:p>
    <w:p w14:paraId="5C9FA3B9" w14:textId="77777777" w:rsidR="0028696D" w:rsidRDefault="0028696D" w:rsidP="0028696D">
      <w:pPr>
        <w:rPr>
          <w:color w:val="000000"/>
        </w:rPr>
      </w:pPr>
    </w:p>
    <w:p w14:paraId="7358C8FF" w14:textId="6FAEDFC7" w:rsidR="0028696D" w:rsidRDefault="0028696D" w:rsidP="0028696D">
      <w:pPr>
        <w:rPr>
          <w:color w:val="000000"/>
        </w:rPr>
      </w:pPr>
      <w:r>
        <w:rPr>
          <w:color w:val="000000"/>
        </w:rPr>
        <w:tab/>
        <w:t>When the defendant has been charged with robbing or attempting to rob a drug dealer, the government satisfies the “affecting commerce” element of this crime if it shows that the defendant robbed or attempted t</w:t>
      </w:r>
      <w:r w:rsidRPr="009D0940">
        <w:rPr>
          <w:color w:val="000000"/>
          <w:szCs w:val="24"/>
        </w:rPr>
        <w:t xml:space="preserve">o rob a drug dealer of drugs or drug proceeds.  </w:t>
      </w:r>
      <w:r w:rsidRPr="009D0940">
        <w:rPr>
          <w:i/>
          <w:color w:val="000000"/>
          <w:szCs w:val="24"/>
        </w:rPr>
        <w:t>Taylor v. United States</w:t>
      </w:r>
      <w:r w:rsidRPr="009D0940">
        <w:rPr>
          <w:color w:val="000000"/>
          <w:szCs w:val="24"/>
        </w:rPr>
        <w:t>, 136 S. Ct. 2074</w:t>
      </w:r>
      <w:r w:rsidRPr="0028696D">
        <w:rPr>
          <w:szCs w:val="24"/>
        </w:rPr>
        <w:t xml:space="preserve"> (2016).  </w:t>
      </w:r>
      <w:r w:rsidRPr="0028696D">
        <w:rPr>
          <w:i/>
          <w:iCs/>
          <w:szCs w:val="24"/>
        </w:rPr>
        <w:t>See also</w:t>
      </w:r>
      <w:r w:rsidRPr="0028696D">
        <w:rPr>
          <w:szCs w:val="24"/>
        </w:rPr>
        <w:t xml:space="preserve"> </w:t>
      </w:r>
      <w:r w:rsidRPr="0028696D">
        <w:rPr>
          <w:i/>
          <w:iCs/>
          <w:szCs w:val="24"/>
        </w:rPr>
        <w:t>United States v. Woodberr</w:t>
      </w:r>
      <w:r w:rsidRPr="00093147">
        <w:rPr>
          <w:i/>
          <w:iCs/>
          <w:szCs w:val="24"/>
        </w:rPr>
        <w:t>y</w:t>
      </w:r>
      <w:r w:rsidRPr="00093147">
        <w:rPr>
          <w:szCs w:val="24"/>
        </w:rPr>
        <w:t xml:space="preserve">, </w:t>
      </w:r>
      <w:r w:rsidR="00093147" w:rsidRPr="002E725A">
        <w:rPr>
          <w:szCs w:val="24"/>
        </w:rPr>
        <w:t>987 F.3d 1231, 1235</w:t>
      </w:r>
      <w:r w:rsidRPr="00093147">
        <w:rPr>
          <w:szCs w:val="24"/>
        </w:rPr>
        <w:t xml:space="preserve"> </w:t>
      </w:r>
      <w:r w:rsidR="007B40DD">
        <w:rPr>
          <w:szCs w:val="24"/>
        </w:rPr>
        <w:t>(9</w:t>
      </w:r>
      <w:r w:rsidR="007B40DD" w:rsidRPr="007B40DD">
        <w:rPr>
          <w:szCs w:val="24"/>
        </w:rPr>
        <w:t xml:space="preserve">th </w:t>
      </w:r>
      <w:r w:rsidR="007B40DD">
        <w:rPr>
          <w:szCs w:val="24"/>
        </w:rPr>
        <w:t xml:space="preserve">Cir. 2021) </w:t>
      </w:r>
      <w:r w:rsidRPr="0028696D">
        <w:rPr>
          <w:szCs w:val="24"/>
        </w:rPr>
        <w:t xml:space="preserve">(applying </w:t>
      </w:r>
      <w:r w:rsidRPr="0028696D">
        <w:rPr>
          <w:i/>
          <w:iCs/>
          <w:szCs w:val="24"/>
        </w:rPr>
        <w:t>Taylor</w:t>
      </w:r>
      <w:r w:rsidRPr="0028696D">
        <w:rPr>
          <w:szCs w:val="24"/>
        </w:rPr>
        <w:t xml:space="preserve">’s holding to robbery of licensed marijuana dispensary).  “[T]he Government need not show that the drugs that a defendant stole or attempted to steal either traveled or were destined for transport across state lines.” </w:t>
      </w:r>
      <w:r w:rsidRPr="0028696D">
        <w:rPr>
          <w:i/>
          <w:szCs w:val="24"/>
        </w:rPr>
        <w:t xml:space="preserve"> </w:t>
      </w:r>
      <w:r w:rsidRPr="0028696D">
        <w:rPr>
          <w:i/>
          <w:iCs/>
          <w:szCs w:val="24"/>
        </w:rPr>
        <w:t>Taylor</w:t>
      </w:r>
      <w:r w:rsidRPr="0028696D">
        <w:rPr>
          <w:szCs w:val="24"/>
        </w:rPr>
        <w:t xml:space="preserve">, 136 S. Ct. </w:t>
      </w:r>
      <w:proofErr w:type="gramStart"/>
      <w:r w:rsidRPr="0028696D">
        <w:rPr>
          <w:szCs w:val="24"/>
        </w:rPr>
        <w:t>at</w:t>
      </w:r>
      <w:proofErr w:type="gramEnd"/>
      <w:r w:rsidRPr="0028696D">
        <w:rPr>
          <w:szCs w:val="24"/>
        </w:rPr>
        <w:t xml:space="preserve"> </w:t>
      </w:r>
      <w:r w:rsidRPr="009D0940">
        <w:rPr>
          <w:color w:val="000000"/>
          <w:szCs w:val="24"/>
        </w:rPr>
        <w:t>2081.</w:t>
      </w:r>
    </w:p>
    <w:p w14:paraId="3023C1D8" w14:textId="77777777" w:rsidR="0028696D" w:rsidRDefault="0028696D" w:rsidP="0028696D">
      <w:pPr>
        <w:rPr>
          <w:color w:val="000000"/>
        </w:rPr>
      </w:pPr>
    </w:p>
    <w:p w14:paraId="66D041D3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ab/>
        <w:t xml:space="preserve">The bracketed language stating an additional element applies only when the charge is an attempt.  In attempt cases, “[t]o </w:t>
      </w:r>
      <w:proofErr w:type="gramStart"/>
      <w:r>
        <w:rPr>
          <w:color w:val="000000"/>
        </w:rPr>
        <w:t>constitute</w:t>
      </w:r>
      <w:proofErr w:type="gramEnd"/>
      <w:r>
        <w:rPr>
          <w:color w:val="000000"/>
        </w:rPr>
        <w:t xml:space="preserve"> a substantial step, a defendant’s actions must cross the line between preparation and attempt by unequivocally demonstrating that the crime will take place unless interrupted by independent circumstances.”  </w:t>
      </w:r>
      <w:r>
        <w:rPr>
          <w:i/>
          <w:color w:val="000000"/>
        </w:rPr>
        <w:t xml:space="preserve">United States v. </w:t>
      </w:r>
      <w:proofErr w:type="spellStart"/>
      <w:r>
        <w:rPr>
          <w:i/>
          <w:color w:val="000000"/>
        </w:rPr>
        <w:t>Goetzke</w:t>
      </w:r>
      <w:proofErr w:type="spellEnd"/>
      <w:r>
        <w:rPr>
          <w:color w:val="000000"/>
        </w:rPr>
        <w:t xml:space="preserve">, 494 F.3d 1231, 1237 (9th Cir. 2007) (internal quotations omitted).  </w:t>
      </w:r>
    </w:p>
    <w:p w14:paraId="5E7A2AFF" w14:textId="77777777" w:rsidR="0028696D" w:rsidRDefault="0028696D" w:rsidP="0028696D">
      <w:pPr>
        <w:rPr>
          <w:color w:val="000000"/>
        </w:rPr>
      </w:pPr>
    </w:p>
    <w:p w14:paraId="0FD04F55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ab/>
        <w:t xml:space="preserve">The “strongly corroborated” language in this instruction is taken from </w:t>
      </w:r>
      <w:r>
        <w:rPr>
          <w:i/>
          <w:color w:val="000000"/>
        </w:rPr>
        <w:t>United States v. Snell</w:t>
      </w:r>
      <w:r>
        <w:rPr>
          <w:color w:val="000000"/>
        </w:rPr>
        <w:t xml:space="preserve">, 627 F.2d 186, 187 (9th Cir. 1980) (“A conviction for attempt requires proof of culpable intent and conduct constituting a substantial step toward commission of the crime that strongly corroborates that intent”) and </w:t>
      </w:r>
      <w:r>
        <w:rPr>
          <w:i/>
          <w:color w:val="000000"/>
        </w:rPr>
        <w:t>United States v. Darby</w:t>
      </w:r>
      <w:r>
        <w:rPr>
          <w:color w:val="000000"/>
        </w:rPr>
        <w:t>, 857 F.2d 623, 625 (9th Cir. 1988) (same).</w:t>
      </w:r>
    </w:p>
    <w:p w14:paraId="4580296C" w14:textId="77777777" w:rsidR="0028696D" w:rsidRDefault="0028696D" w:rsidP="0028696D">
      <w:pPr>
        <w:rPr>
          <w:color w:val="000000"/>
        </w:rPr>
      </w:pPr>
    </w:p>
    <w:p w14:paraId="60C20141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Jurors do not need to agree unanimously as to which </w:t>
      </w:r>
      <w:proofErr w:type="gramStart"/>
      <w:r>
        <w:rPr>
          <w:color w:val="000000"/>
        </w:rPr>
        <w:t>particular act</w:t>
      </w:r>
      <w:proofErr w:type="gramEnd"/>
      <w:r>
        <w:rPr>
          <w:color w:val="000000"/>
        </w:rPr>
        <w:t xml:space="preserve"> or actions constituted a substantial step toward the commission of a crime.  </w:t>
      </w:r>
      <w:r>
        <w:rPr>
          <w:i/>
          <w:color w:val="000000"/>
        </w:rPr>
        <w:t xml:space="preserve">United States v. </w:t>
      </w:r>
      <w:proofErr w:type="spellStart"/>
      <w:r>
        <w:rPr>
          <w:i/>
          <w:color w:val="000000"/>
        </w:rPr>
        <w:t>Hofus</w:t>
      </w:r>
      <w:proofErr w:type="spellEnd"/>
      <w:r>
        <w:rPr>
          <w:color w:val="000000"/>
        </w:rPr>
        <w:t>, 598 F.3d 1171, 1176 (9th Cir. 2010).</w:t>
      </w:r>
    </w:p>
    <w:p w14:paraId="0DB6FF78" w14:textId="77777777" w:rsidR="0028696D" w:rsidRDefault="0028696D" w:rsidP="0028696D">
      <w:pPr>
        <w:rPr>
          <w:color w:val="000000"/>
        </w:rPr>
      </w:pPr>
    </w:p>
    <w:p w14:paraId="407364CD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ab/>
        <w:t xml:space="preserve">“[A] person may be convicted of an attempt to commit a crime even though that person may have actually completed the crime.”  </w:t>
      </w:r>
      <w:r>
        <w:rPr>
          <w:i/>
          <w:color w:val="000000"/>
        </w:rPr>
        <w:t>United States v. Rivera-</w:t>
      </w:r>
      <w:proofErr w:type="spellStart"/>
      <w:r>
        <w:rPr>
          <w:i/>
          <w:color w:val="000000"/>
        </w:rPr>
        <w:t>Relle</w:t>
      </w:r>
      <w:proofErr w:type="spellEnd"/>
      <w:r>
        <w:rPr>
          <w:color w:val="000000"/>
        </w:rPr>
        <w:t>, 333 F.3d 914, 921 (9th Cir. 2003).</w:t>
      </w:r>
    </w:p>
    <w:p w14:paraId="25EEEDE2" w14:textId="77777777" w:rsidR="0028696D" w:rsidRDefault="0028696D" w:rsidP="0028696D">
      <w:pPr>
        <w:rPr>
          <w:color w:val="000000"/>
        </w:rPr>
      </w:pPr>
    </w:p>
    <w:p w14:paraId="5A28AFAC" w14:textId="77777777" w:rsidR="0028696D" w:rsidRDefault="0028696D" w:rsidP="0028696D">
      <w:pPr>
        <w:rPr>
          <w:color w:val="000000"/>
        </w:rPr>
      </w:pPr>
      <w:r>
        <w:rPr>
          <w:color w:val="000000"/>
        </w:rPr>
        <w:tab/>
        <w:t>18 U.S.C. § 1951 requires specific intent as an element.  In</w:t>
      </w:r>
      <w:r>
        <w:rPr>
          <w:i/>
          <w:color w:val="000000"/>
        </w:rPr>
        <w:t xml:space="preserve"> United States v. Dominguez</w:t>
      </w:r>
      <w:r>
        <w:rPr>
          <w:color w:val="000000"/>
        </w:rPr>
        <w:t xml:space="preserve">, the Ninth Circuit reiterated its prior holding that “criminal intent—acting ‘knowingly or </w:t>
      </w:r>
      <w:proofErr w:type="spellStart"/>
      <w:r>
        <w:rPr>
          <w:color w:val="000000"/>
        </w:rPr>
        <w:t>wilingly</w:t>
      </w:r>
      <w:proofErr w:type="spellEnd"/>
      <w:r>
        <w:rPr>
          <w:color w:val="000000"/>
        </w:rPr>
        <w:t xml:space="preserve">’—is an implied and necessary element that the government must prove for a Hobbs Act conviction.”  954 F.3d 1251, 1261 (9th Cir. 2020) (quoting </w:t>
      </w:r>
      <w:r>
        <w:rPr>
          <w:i/>
          <w:color w:val="000000"/>
        </w:rPr>
        <w:t>United States v. Du Bo</w:t>
      </w:r>
      <w:r>
        <w:rPr>
          <w:color w:val="000000"/>
        </w:rPr>
        <w:t xml:space="preserve">, 186 F.3d 1177, 1179 (9th Cir. 1999)).  In </w:t>
      </w:r>
      <w:r>
        <w:rPr>
          <w:i/>
          <w:color w:val="000000"/>
        </w:rPr>
        <w:t>Dominguez</w:t>
      </w:r>
      <w:r>
        <w:rPr>
          <w:color w:val="000000"/>
        </w:rPr>
        <w:t>, the Ninth Circuit held that evidence was sufficient to support defendant’s conviction of attempted Hobbs Act robbery because it “overwhelmingly showed that [defendant] had the specific intent</w:t>
      </w:r>
      <w:r>
        <w:rPr>
          <w:color w:val="0000FF"/>
        </w:rPr>
        <w:t>.</w:t>
      </w:r>
    </w:p>
    <w:p w14:paraId="65E838A4" w14:textId="77777777" w:rsidR="0028696D" w:rsidRDefault="0028696D" w:rsidP="0028696D">
      <w:pPr>
        <w:rPr>
          <w:color w:val="000000"/>
        </w:rPr>
      </w:pPr>
    </w:p>
    <w:p w14:paraId="18D1DFA5" w14:textId="77777777" w:rsidR="0028696D" w:rsidRDefault="0028696D" w:rsidP="0028696D">
      <w:pPr>
        <w:rPr>
          <w:color w:val="000000"/>
        </w:rPr>
      </w:pPr>
    </w:p>
    <w:p w14:paraId="467D7E47" w14:textId="74E111A6" w:rsidR="0028696D" w:rsidRDefault="0028696D" w:rsidP="0028696D">
      <w:pPr>
        <w:jc w:val="right"/>
        <w:rPr>
          <w:color w:val="000000"/>
        </w:rPr>
      </w:pPr>
      <w:r>
        <w:rPr>
          <w:i/>
          <w:color w:val="000000"/>
        </w:rPr>
        <w:t>Approved 3/2021</w:t>
      </w:r>
    </w:p>
    <w:p w14:paraId="5762529E" w14:textId="77777777" w:rsidR="0028696D" w:rsidRDefault="0028696D" w:rsidP="0028696D"/>
    <w:p w14:paraId="7C59AE06" w14:textId="77777777" w:rsidR="00C35252" w:rsidRDefault="00C35252"/>
    <w:sectPr w:rsidR="00C35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6D"/>
    <w:rsid w:val="00093147"/>
    <w:rsid w:val="000A00D9"/>
    <w:rsid w:val="0028696D"/>
    <w:rsid w:val="007B40DD"/>
    <w:rsid w:val="00C35252"/>
    <w:rsid w:val="00EE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745A"/>
  <w15:chartTrackingRefBased/>
  <w15:docId w15:val="{B2886D5E-F7D6-42CD-8A14-F0EDDCEE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9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8696D"/>
    <w:pPr>
      <w:keepNext w:val="0"/>
      <w:keepLines w:val="0"/>
      <w:widowControl w:val="0"/>
      <w:spacing w:before="0"/>
      <w:jc w:val="center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696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86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Aejung Yoon</dc:creator>
  <cp:keywords/>
  <dc:description/>
  <cp:lastModifiedBy>Aejung Yoon</cp:lastModifiedBy>
  <cp:revision>4</cp:revision>
  <dcterms:created xsi:type="dcterms:W3CDTF">2021-03-05T23:50:00Z</dcterms:created>
  <dcterms:modified xsi:type="dcterms:W3CDTF">2021-03-11T22:31:00Z</dcterms:modified>
</cp:coreProperties>
</file>