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8044" w14:textId="18980594" w:rsidR="00D61B37" w:rsidRDefault="00D61B37" w:rsidP="00D61B37">
      <w:pPr>
        <w:pStyle w:val="Heading2"/>
      </w:pPr>
      <w:bookmarkStart w:id="0" w:name="_Toc73698610"/>
      <w:proofErr w:type="gramStart"/>
      <w:r>
        <w:t>8.143</w:t>
      </w:r>
      <w:r w:rsidRPr="00742622">
        <w:t xml:space="preserve">  Hobbs</w:t>
      </w:r>
      <w:proofErr w:type="gramEnd"/>
      <w:r w:rsidRPr="00742622">
        <w:t xml:space="preserve"> Act—Extortion or Attempted Extortion Under Color of Official Right </w:t>
      </w:r>
    </w:p>
    <w:p w14:paraId="3A5F51FE" w14:textId="77777777" w:rsidR="00D61B37" w:rsidRPr="00742622" w:rsidRDefault="00D61B37" w:rsidP="00D61B37">
      <w:pPr>
        <w:pStyle w:val="Heading2"/>
      </w:pPr>
      <w:r w:rsidRPr="00742622">
        <w:t>(18 U.S.C. § 1951)</w:t>
      </w:r>
      <w:bookmarkEnd w:id="0"/>
    </w:p>
    <w:p w14:paraId="75D941C6" w14:textId="77777777" w:rsidR="00D61B37" w:rsidRPr="00742622" w:rsidRDefault="00D61B37" w:rsidP="00D61B37">
      <w:pPr>
        <w:rPr>
          <w:rFonts w:eastAsia="Times New Roman" w:cs="Times New Roman"/>
          <w:color w:val="000000"/>
          <w:szCs w:val="24"/>
        </w:rPr>
      </w:pPr>
    </w:p>
    <w:p w14:paraId="2ABD4204"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extortion under color of official right in violation of Section 1951 of Title 18 of the United States Code.  </w:t>
      </w:r>
      <w:proofErr w:type="gramStart"/>
      <w:r w:rsidRPr="00742622">
        <w:rPr>
          <w:rFonts w:eastAsia="Times New Roman" w:cs="Times New Roman"/>
          <w:color w:val="000000"/>
          <w:szCs w:val="24"/>
        </w:rPr>
        <w:t>In order for</w:t>
      </w:r>
      <w:proofErr w:type="gramEnd"/>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99A5B4F" w14:textId="77777777" w:rsidR="00D61B37" w:rsidRPr="00742622" w:rsidRDefault="00D61B37" w:rsidP="00D61B37">
      <w:pPr>
        <w:rPr>
          <w:rFonts w:eastAsia="Times New Roman" w:cs="Times New Roman"/>
          <w:color w:val="000000"/>
          <w:szCs w:val="24"/>
        </w:rPr>
      </w:pPr>
    </w:p>
    <w:p w14:paraId="71ADC6F4"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32B67601" w14:textId="77777777" w:rsidR="00D61B37" w:rsidRPr="00742622" w:rsidRDefault="00D61B37" w:rsidP="00D61B37">
      <w:pPr>
        <w:rPr>
          <w:rFonts w:eastAsia="Times New Roman" w:cs="Times New Roman"/>
          <w:color w:val="000000"/>
          <w:szCs w:val="24"/>
        </w:rPr>
      </w:pPr>
    </w:p>
    <w:p w14:paraId="1CD9C57A"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Second, the defendant [[obtained] [intended to obtain]]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that the defendant knew [he] [she] was not entitled to </w:t>
      </w:r>
      <w:proofErr w:type="gramStart"/>
      <w:r w:rsidRPr="00742622">
        <w:rPr>
          <w:rFonts w:eastAsia="Times New Roman" w:cs="Times New Roman"/>
          <w:color w:val="000000"/>
          <w:szCs w:val="24"/>
        </w:rPr>
        <w:t>receive;</w:t>
      </w:r>
      <w:proofErr w:type="gramEnd"/>
    </w:p>
    <w:p w14:paraId="6979AD3D" w14:textId="77777777" w:rsidR="00D61B37" w:rsidRPr="00742622" w:rsidRDefault="00D61B37" w:rsidP="00D61B37">
      <w:pPr>
        <w:rPr>
          <w:rFonts w:eastAsia="Times New Roman" w:cs="Times New Roman"/>
          <w:color w:val="000000"/>
          <w:szCs w:val="24"/>
        </w:rPr>
      </w:pPr>
    </w:p>
    <w:p w14:paraId="7BF7E7C8"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[taking] [withholding] some official action; [and]]</w:t>
      </w:r>
    </w:p>
    <w:p w14:paraId="7083CFB3" w14:textId="77777777" w:rsidR="00D61B37" w:rsidRPr="00742622" w:rsidRDefault="00D61B37" w:rsidP="00D61B37">
      <w:pPr>
        <w:rPr>
          <w:rFonts w:eastAsia="Times New Roman" w:cs="Times New Roman"/>
          <w:color w:val="000000"/>
          <w:szCs w:val="24"/>
        </w:rPr>
      </w:pPr>
    </w:p>
    <w:p w14:paraId="0BC40389" w14:textId="77777777" w:rsidR="00D61B37" w:rsidRPr="00742622" w:rsidRDefault="00D61B37" w:rsidP="00D61B37">
      <w:pPr>
        <w:jc w:val="center"/>
        <w:rPr>
          <w:rFonts w:eastAsia="Times New Roman" w:cs="Times New Roman"/>
          <w:color w:val="000000"/>
          <w:szCs w:val="24"/>
        </w:rPr>
      </w:pPr>
      <w:r w:rsidRPr="00742622">
        <w:rPr>
          <w:rFonts w:eastAsia="Times New Roman" w:cs="Times New Roman"/>
          <w:i/>
          <w:color w:val="000000"/>
          <w:szCs w:val="24"/>
        </w:rPr>
        <w:t>or</w:t>
      </w:r>
    </w:p>
    <w:p w14:paraId="79C85BD5" w14:textId="77777777" w:rsidR="00D61B37" w:rsidRPr="00742622" w:rsidRDefault="00D61B37" w:rsidP="00D61B37">
      <w:pPr>
        <w:rPr>
          <w:rFonts w:eastAsia="Times New Roman" w:cs="Times New Roman"/>
          <w:color w:val="000000"/>
          <w:szCs w:val="24"/>
        </w:rPr>
      </w:pPr>
    </w:p>
    <w:p w14:paraId="1677FC02"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an express promise to perform a particular official action; and]</w:t>
      </w:r>
    </w:p>
    <w:p w14:paraId="140B957F" w14:textId="77777777" w:rsidR="00D61B37" w:rsidRPr="00742622" w:rsidRDefault="00D61B37" w:rsidP="00D61B37">
      <w:pPr>
        <w:rPr>
          <w:rFonts w:eastAsia="Times New Roman" w:cs="Times New Roman"/>
          <w:color w:val="000000"/>
          <w:szCs w:val="24"/>
        </w:rPr>
      </w:pPr>
    </w:p>
    <w:p w14:paraId="1B72E887"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224F5025" w14:textId="77777777" w:rsidR="00D61B37" w:rsidRPr="00742622" w:rsidRDefault="00D61B37" w:rsidP="00D61B37">
      <w:pPr>
        <w:rPr>
          <w:rFonts w:eastAsia="Times New Roman" w:cs="Times New Roman"/>
          <w:color w:val="000000"/>
          <w:szCs w:val="24"/>
        </w:rPr>
      </w:pPr>
    </w:p>
    <w:p w14:paraId="57C271C2"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 and that strongly corroborated the defendant’s intent to commit the crime.</w:t>
      </w:r>
    </w:p>
    <w:p w14:paraId="599302E8" w14:textId="77777777" w:rsidR="00D61B37" w:rsidRPr="00742622" w:rsidRDefault="00D61B37" w:rsidP="00D61B37">
      <w:pPr>
        <w:rPr>
          <w:rFonts w:eastAsia="Times New Roman" w:cs="Times New Roman"/>
          <w:color w:val="000000"/>
          <w:szCs w:val="24"/>
        </w:rPr>
      </w:pPr>
    </w:p>
    <w:p w14:paraId="77E3598A"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67EF0C79" w14:textId="77777777" w:rsidR="00D61B37" w:rsidRPr="00742622" w:rsidRDefault="00D61B37" w:rsidP="00D61B37">
      <w:pPr>
        <w:rPr>
          <w:rFonts w:eastAsia="Times New Roman" w:cs="Times New Roman"/>
          <w:color w:val="000000"/>
          <w:szCs w:val="24"/>
        </w:rPr>
      </w:pPr>
    </w:p>
    <w:p w14:paraId="58BE7C36"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w:t>
      </w:r>
    </w:p>
    <w:p w14:paraId="1EAFFFEE" w14:textId="77777777" w:rsidR="00D61B37" w:rsidRPr="00742622" w:rsidRDefault="00D61B37" w:rsidP="00D61B37">
      <w:pPr>
        <w:rPr>
          <w:rFonts w:eastAsia="Times New Roman" w:cs="Times New Roman"/>
          <w:color w:val="000000"/>
          <w:szCs w:val="24"/>
        </w:rPr>
      </w:pPr>
    </w:p>
    <w:p w14:paraId="60FA1EE8"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[The acceptance by a public official of a campaign contribution does not</w:t>
      </w:r>
      <w:proofErr w:type="gramStart"/>
      <w:r w:rsidRPr="00742622">
        <w:rPr>
          <w:rFonts w:eastAsia="Times New Roman" w:cs="Times New Roman"/>
          <w:color w:val="000000"/>
          <w:szCs w:val="24"/>
        </w:rPr>
        <w:t>, in itself, constitute</w:t>
      </w:r>
      <w:proofErr w:type="gramEnd"/>
      <w:r w:rsidRPr="00742622">
        <w:rPr>
          <w:rFonts w:eastAsia="Times New Roman" w:cs="Times New Roman"/>
          <w:color w:val="000000"/>
          <w:szCs w:val="24"/>
        </w:rPr>
        <w:t xml:space="preserve"> a violation of law even though the donor has business pending before the official. However, if a </w:t>
      </w:r>
      <w:proofErr w:type="gramStart"/>
      <w:r w:rsidRPr="00742622">
        <w:rPr>
          <w:rFonts w:eastAsia="Times New Roman" w:cs="Times New Roman"/>
          <w:color w:val="000000"/>
          <w:szCs w:val="24"/>
        </w:rPr>
        <w:t>public official demands</w:t>
      </w:r>
      <w:proofErr w:type="gramEnd"/>
      <w:r w:rsidRPr="00742622">
        <w:rPr>
          <w:rFonts w:eastAsia="Times New Roman" w:cs="Times New Roman"/>
          <w:color w:val="000000"/>
          <w:szCs w:val="24"/>
        </w:rPr>
        <w:t xml:space="preserve"> or accepts [money] [property] [some valuable right] in exchange for a specific requested exercise of official power, such a demand or acceptance does constitute a violation regardless of whether the payment is made in the form of a campaign contribution.]</w:t>
      </w:r>
    </w:p>
    <w:p w14:paraId="76809520" w14:textId="77777777" w:rsidR="00D61B37" w:rsidRPr="00742622" w:rsidRDefault="00D61B37" w:rsidP="00D61B37">
      <w:pPr>
        <w:rPr>
          <w:rFonts w:eastAsia="Times New Roman" w:cs="Times New Roman"/>
          <w:color w:val="000000"/>
          <w:szCs w:val="24"/>
        </w:rPr>
      </w:pPr>
    </w:p>
    <w:p w14:paraId="3DE5ED94" w14:textId="77777777" w:rsidR="00D61B37" w:rsidRPr="00742622" w:rsidRDefault="00D61B37" w:rsidP="00D61B37">
      <w:pPr>
        <w:jc w:val="center"/>
        <w:rPr>
          <w:rFonts w:eastAsia="Times New Roman" w:cs="Times New Roman"/>
          <w:color w:val="000000"/>
          <w:szCs w:val="24"/>
        </w:rPr>
      </w:pPr>
      <w:r w:rsidRPr="00742622">
        <w:rPr>
          <w:rFonts w:eastAsia="Times New Roman" w:cs="Times New Roman"/>
          <w:b/>
          <w:color w:val="000000"/>
          <w:szCs w:val="24"/>
        </w:rPr>
        <w:t>Comment</w:t>
      </w:r>
    </w:p>
    <w:p w14:paraId="38D81178" w14:textId="77777777" w:rsidR="00D61B37" w:rsidRPr="00742622" w:rsidRDefault="00D61B37" w:rsidP="00D61B37">
      <w:pPr>
        <w:rPr>
          <w:rFonts w:eastAsia="Times New Roman" w:cs="Times New Roman"/>
          <w:color w:val="000000"/>
          <w:szCs w:val="24"/>
        </w:rPr>
      </w:pPr>
    </w:p>
    <w:p w14:paraId="5423061A"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If the defendant is not a public official, then this instruction should be modified to include a requirement that the government prove that the defendant either conspired with a public official or aided and abetted a public official.  </w:t>
      </w:r>
      <w:r w:rsidRPr="00742622">
        <w:rPr>
          <w:rFonts w:eastAsia="Times New Roman" w:cs="Times New Roman"/>
          <w:i/>
          <w:color w:val="000000"/>
          <w:szCs w:val="24"/>
        </w:rPr>
        <w:t>United States v. McFall</w:t>
      </w:r>
      <w:r w:rsidRPr="00742622">
        <w:rPr>
          <w:rFonts w:eastAsia="Times New Roman" w:cs="Times New Roman"/>
          <w:color w:val="000000"/>
          <w:szCs w:val="24"/>
        </w:rPr>
        <w:t xml:space="preserve">, 558 F.3d 951, 960 (9th Cir. </w:t>
      </w:r>
      <w:r w:rsidRPr="00742622">
        <w:rPr>
          <w:rFonts w:eastAsia="Times New Roman" w:cs="Times New Roman"/>
          <w:color w:val="000000"/>
          <w:szCs w:val="24"/>
        </w:rPr>
        <w:lastRenderedPageBreak/>
        <w:t xml:space="preserve">2009).  A Hobbs Act conspiracy may exist even if some members of the conspiracy are not public officials and thus cannot complete the offense.  </w:t>
      </w:r>
      <w:r w:rsidRPr="00742622">
        <w:rPr>
          <w:rFonts w:eastAsia="Times New Roman" w:cs="Times New Roman"/>
          <w:i/>
          <w:color w:val="000000"/>
          <w:szCs w:val="24"/>
        </w:rPr>
        <w:t>Ocasio v. United States</w:t>
      </w:r>
      <w:r w:rsidRPr="00742622">
        <w:rPr>
          <w:rFonts w:eastAsia="Times New Roman" w:cs="Times New Roman"/>
          <w:color w:val="000000"/>
          <w:szCs w:val="24"/>
        </w:rPr>
        <w:t xml:space="preserve">, 136 </w:t>
      </w:r>
      <w:proofErr w:type="spellStart"/>
      <w:r w:rsidRPr="00742622">
        <w:rPr>
          <w:rFonts w:eastAsia="Times New Roman" w:cs="Times New Roman"/>
          <w:color w:val="000000"/>
          <w:szCs w:val="24"/>
        </w:rPr>
        <w:t>S.Ct</w:t>
      </w:r>
      <w:proofErr w:type="spellEnd"/>
      <w:r w:rsidRPr="00742622">
        <w:rPr>
          <w:rFonts w:eastAsia="Times New Roman" w:cs="Times New Roman"/>
          <w:color w:val="000000"/>
          <w:szCs w:val="24"/>
        </w:rPr>
        <w:t xml:space="preserve">. 1423, 1429-32 (2016).  The object of the conspiracy need not be to get property from a person outside the conspiracy; it is sufficient that the property comes from another member of the conspiracy.  </w:t>
      </w:r>
      <w:r w:rsidRPr="00742622">
        <w:rPr>
          <w:rFonts w:eastAsia="Times New Roman" w:cs="Times New Roman"/>
          <w:i/>
          <w:color w:val="000000"/>
          <w:szCs w:val="24"/>
        </w:rPr>
        <w:t>Id</w:t>
      </w:r>
      <w:r w:rsidRPr="00742622">
        <w:rPr>
          <w:rFonts w:eastAsia="Times New Roman" w:cs="Times New Roman"/>
          <w:color w:val="000000"/>
          <w:szCs w:val="24"/>
        </w:rPr>
        <w:t>. at 1434-35.</w:t>
      </w:r>
    </w:p>
    <w:p w14:paraId="5EAE07A8" w14:textId="77777777" w:rsidR="00D61B37" w:rsidRPr="00742622" w:rsidRDefault="00D61B37" w:rsidP="00D61B37">
      <w:pPr>
        <w:rPr>
          <w:rFonts w:eastAsia="Times New Roman" w:cs="Times New Roman"/>
          <w:color w:val="000000"/>
          <w:szCs w:val="24"/>
        </w:rPr>
      </w:pPr>
    </w:p>
    <w:p w14:paraId="5568ADAB"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Pr>
          <w:rFonts w:eastAsia="Times New Roman" w:cs="Times New Roman"/>
          <w:color w:val="000000"/>
          <w:szCs w:val="24"/>
        </w:rPr>
        <w:t>10.1</w:t>
      </w:r>
      <w:r w:rsidRPr="00742622">
        <w:rPr>
          <w:rFonts w:eastAsia="Times New Roman" w:cs="Times New Roman"/>
          <w:color w:val="000000"/>
          <w:szCs w:val="24"/>
        </w:rPr>
        <w:t xml:space="preserve"> (Official Action—Defined).  When using that instruction in connection with Instruction </w:t>
      </w:r>
      <w:r>
        <w:rPr>
          <w:rFonts w:eastAsia="Times New Roman" w:cs="Times New Roman"/>
          <w:color w:val="000000"/>
          <w:szCs w:val="24"/>
        </w:rPr>
        <w:t>9.7</w:t>
      </w:r>
      <w:r w:rsidRPr="00742622">
        <w:rPr>
          <w:rFonts w:eastAsia="Times New Roman" w:cs="Times New Roman"/>
          <w:color w:val="000000"/>
          <w:szCs w:val="24"/>
        </w:rPr>
        <w:t xml:space="preserve">, the court should change the term “official act” to “official action.”  </w:t>
      </w:r>
    </w:p>
    <w:p w14:paraId="2BDB59B5" w14:textId="77777777" w:rsidR="00D61B37" w:rsidRPr="00742622" w:rsidRDefault="00D61B37" w:rsidP="00D61B37">
      <w:pPr>
        <w:rPr>
          <w:rFonts w:eastAsia="Times New Roman" w:cs="Times New Roman"/>
          <w:color w:val="000000"/>
          <w:szCs w:val="24"/>
        </w:rPr>
      </w:pPr>
    </w:p>
    <w:p w14:paraId="190D2D67"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Kincaid-Chauncey, </w:t>
      </w:r>
      <w:r w:rsidRPr="00742622">
        <w:rPr>
          <w:rFonts w:eastAsia="Times New Roman" w:cs="Times New Roman"/>
          <w:color w:val="000000"/>
          <w:szCs w:val="24"/>
        </w:rPr>
        <w:t>556 F.3d 923, 937-38 (9th Cir. 2009).  In such a case the first version of the third element should be used and the final paragraph should not be included.</w:t>
      </w:r>
    </w:p>
    <w:p w14:paraId="2993882F" w14:textId="77777777" w:rsidR="00D61B37" w:rsidRPr="00742622" w:rsidRDefault="00D61B37" w:rsidP="00D61B37">
      <w:pPr>
        <w:rPr>
          <w:rFonts w:eastAsia="Times New Roman" w:cs="Times New Roman"/>
          <w:color w:val="000000"/>
          <w:szCs w:val="24"/>
        </w:rPr>
      </w:pPr>
    </w:p>
    <w:p w14:paraId="1BDC3CA8"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The second version of the third element, and the final paragraph should be included in cases involving an alleged campaign contribution.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McCormick v. United States</w:t>
      </w:r>
      <w:r w:rsidRPr="00742622">
        <w:rPr>
          <w:rFonts w:eastAsia="Times New Roman" w:cs="Times New Roman"/>
          <w:color w:val="000000"/>
          <w:szCs w:val="24"/>
        </w:rPr>
        <w:t xml:space="preserve">, 500 U.S. 257 (1991); </w:t>
      </w:r>
      <w:r w:rsidRPr="00742622">
        <w:rPr>
          <w:rFonts w:eastAsia="Times New Roman" w:cs="Times New Roman"/>
          <w:i/>
          <w:color w:val="000000"/>
          <w:szCs w:val="24"/>
        </w:rPr>
        <w:t xml:space="preserve">Kincaid-Chauncey, </w:t>
      </w:r>
      <w:r w:rsidRPr="00742622">
        <w:rPr>
          <w:rFonts w:eastAsia="Times New Roman" w:cs="Times New Roman"/>
          <w:color w:val="000000"/>
          <w:szCs w:val="24"/>
        </w:rPr>
        <w:t xml:space="preserve">556 F.3d at 936.  The express promise need not actually be carried out.  It is sufficient if the promise to act is given in exchange for the property.  </w:t>
      </w:r>
      <w:r w:rsidRPr="00742622">
        <w:rPr>
          <w:rFonts w:eastAsia="Times New Roman" w:cs="Times New Roman"/>
          <w:i/>
          <w:color w:val="000000"/>
          <w:szCs w:val="24"/>
        </w:rPr>
        <w:t xml:space="preserve">See Evans v. United States, </w:t>
      </w:r>
      <w:r w:rsidRPr="00742622">
        <w:rPr>
          <w:rFonts w:eastAsia="Times New Roman" w:cs="Times New Roman"/>
          <w:color w:val="000000"/>
          <w:szCs w:val="24"/>
        </w:rPr>
        <w:t>504 U.S. 255, 267 (1992).</w:t>
      </w:r>
    </w:p>
    <w:p w14:paraId="6B0FBABE" w14:textId="77777777" w:rsidR="00D61B37" w:rsidRPr="00742622" w:rsidRDefault="00D61B37" w:rsidP="00D61B37">
      <w:pPr>
        <w:rPr>
          <w:rFonts w:eastAsia="Times New Roman" w:cs="Times New Roman"/>
          <w:color w:val="000000"/>
          <w:szCs w:val="24"/>
        </w:rPr>
      </w:pPr>
    </w:p>
    <w:p w14:paraId="557BF053"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The bracketed language stating a fifth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(internal quotations omitted).  </w:t>
      </w:r>
    </w:p>
    <w:p w14:paraId="0EBF902C" w14:textId="77777777" w:rsidR="00D61B37" w:rsidRPr="00742622" w:rsidRDefault="00D61B37" w:rsidP="00D61B37">
      <w:pPr>
        <w:rPr>
          <w:rFonts w:eastAsia="Times New Roman" w:cs="Times New Roman"/>
          <w:color w:val="000000"/>
          <w:szCs w:val="24"/>
        </w:rPr>
      </w:pPr>
    </w:p>
    <w:p w14:paraId="660AB0AA"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is taken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3284AF1" w14:textId="77777777" w:rsidR="00D61B37" w:rsidRPr="00742622" w:rsidRDefault="00D61B37" w:rsidP="00D61B37">
      <w:pPr>
        <w:rPr>
          <w:rFonts w:eastAsia="Times New Roman" w:cs="Times New Roman"/>
          <w:color w:val="000000"/>
          <w:szCs w:val="24"/>
        </w:rPr>
      </w:pPr>
    </w:p>
    <w:p w14:paraId="7BCFC994"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D751E49" w14:textId="77777777" w:rsidR="00D61B37" w:rsidRPr="00742622" w:rsidRDefault="00D61B37" w:rsidP="00D61B37">
      <w:pPr>
        <w:rPr>
          <w:rFonts w:eastAsia="Times New Roman" w:cs="Times New Roman"/>
          <w:color w:val="000000"/>
          <w:szCs w:val="24"/>
        </w:rPr>
      </w:pPr>
    </w:p>
    <w:p w14:paraId="4117C989" w14:textId="77777777" w:rsidR="00D61B37" w:rsidRPr="00742622" w:rsidRDefault="00D61B37" w:rsidP="00D61B3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0BAF3B6C" w14:textId="77777777" w:rsidR="00D61B37" w:rsidRPr="00742622" w:rsidRDefault="00D61B37" w:rsidP="00D61B37">
      <w:pPr>
        <w:rPr>
          <w:rFonts w:eastAsia="Times New Roman" w:cs="Times New Roman"/>
          <w:color w:val="000000"/>
          <w:szCs w:val="24"/>
        </w:rPr>
      </w:pPr>
    </w:p>
    <w:p w14:paraId="5C8749FE" w14:textId="77777777" w:rsidR="00D61B37" w:rsidRPr="00742622" w:rsidRDefault="00D61B37" w:rsidP="00D61B37">
      <w:pPr>
        <w:rPr>
          <w:rFonts w:eastAsia="Times New Roman" w:cs="Times New Roman"/>
          <w:color w:val="000000"/>
          <w:szCs w:val="24"/>
        </w:rPr>
      </w:pPr>
    </w:p>
    <w:p w14:paraId="4D2E721C" w14:textId="77777777" w:rsidR="00D61B37" w:rsidRPr="00742622" w:rsidRDefault="00D61B37" w:rsidP="00D61B37">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12/2019</w:t>
      </w:r>
    </w:p>
    <w:p w14:paraId="4A2867A2" w14:textId="77777777" w:rsidR="00C35252" w:rsidRDefault="00C35252"/>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37"/>
    <w:rsid w:val="000A00D9"/>
    <w:rsid w:val="00C35252"/>
    <w:rsid w:val="00D6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DBB"/>
  <w15:chartTrackingRefBased/>
  <w15:docId w15:val="{30F8C16C-2572-40DC-B5C6-CB8B172C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37"/>
    <w:pPr>
      <w:spacing w:after="0" w:line="240" w:lineRule="auto"/>
    </w:pPr>
    <w:rPr>
      <w:rFonts w:ascii="Times New Roman" w:hAnsi="Times New Roman"/>
      <w:sz w:val="24"/>
    </w:rPr>
  </w:style>
  <w:style w:type="paragraph" w:styleId="Heading2">
    <w:name w:val="heading 2"/>
    <w:basedOn w:val="Normal"/>
    <w:next w:val="Normal"/>
    <w:link w:val="Heading2Char"/>
    <w:autoRedefine/>
    <w:uiPriority w:val="9"/>
    <w:unhideWhenUsed/>
    <w:qFormat/>
    <w:rsid w:val="00D61B37"/>
    <w:pPr>
      <w:autoSpaceDE w:val="0"/>
      <w:autoSpaceDN w:val="0"/>
      <w:adjustRightInd w:val="0"/>
      <w:ind w:left="42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B3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1</cp:revision>
  <dcterms:created xsi:type="dcterms:W3CDTF">2021-07-30T17:10:00Z</dcterms:created>
  <dcterms:modified xsi:type="dcterms:W3CDTF">2021-07-30T17:30:00Z</dcterms:modified>
</cp:coreProperties>
</file>