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97D1" w14:textId="16023DCE" w:rsidR="00D872C7" w:rsidRPr="002F418D" w:rsidRDefault="00D872C7" w:rsidP="005E35D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  <w:szCs w:val="24"/>
        </w:rPr>
      </w:pPr>
      <w:r w:rsidRPr="002F418D">
        <w:rPr>
          <w:rFonts w:cs="Times New Roman"/>
          <w:color w:val="auto"/>
          <w:szCs w:val="24"/>
          <w:lang w:val="en-CA"/>
        </w:rPr>
        <w:fldChar w:fldCharType="begin"/>
      </w:r>
      <w:r w:rsidRPr="002F418D">
        <w:rPr>
          <w:rFonts w:cs="Times New Roman"/>
          <w:color w:val="auto"/>
          <w:szCs w:val="24"/>
          <w:lang w:val="en-CA"/>
        </w:rPr>
        <w:instrText xml:space="preserve"> SEQ CHAPTER \h \r 1</w:instrText>
      </w:r>
      <w:r w:rsidRPr="002F418D">
        <w:rPr>
          <w:rFonts w:cs="Times New Roman"/>
          <w:color w:val="auto"/>
          <w:szCs w:val="24"/>
          <w:lang w:val="en-CA"/>
        </w:rPr>
        <w:fldChar w:fldCharType="end"/>
      </w:r>
      <w:r w:rsidRPr="002F418D">
        <w:rPr>
          <w:rFonts w:cs="Times New Roman"/>
          <w:b/>
          <w:bCs/>
          <w:color w:val="auto"/>
          <w:szCs w:val="24"/>
        </w:rPr>
        <w:t>8.47A MAILING THREATENING COMMUNICATIONS—THREATS TO KIDNAP OR INJURE</w:t>
      </w:r>
      <w:r w:rsidR="003A250A">
        <w:rPr>
          <w:rFonts w:cs="Times New Roman"/>
          <w:b/>
          <w:bCs/>
          <w:color w:val="auto"/>
          <w:szCs w:val="24"/>
        </w:rPr>
        <w:t xml:space="preserve"> </w:t>
      </w:r>
      <w:r w:rsidRPr="002F418D">
        <w:rPr>
          <w:rFonts w:cs="Times New Roman"/>
          <w:b/>
          <w:bCs/>
          <w:color w:val="auto"/>
          <w:szCs w:val="24"/>
        </w:rPr>
        <w:t>(18 U.S.C. § 876(c))</w:t>
      </w:r>
    </w:p>
    <w:p w14:paraId="0E78F1B7" w14:textId="77777777" w:rsidR="00D872C7" w:rsidRPr="002F418D" w:rsidRDefault="00D872C7" w:rsidP="00D872C7">
      <w:pPr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</w:p>
    <w:p w14:paraId="50DDA337" w14:textId="1672BEA3" w:rsidR="00D872C7" w:rsidRPr="00AE3DB5" w:rsidRDefault="00D872C7" w:rsidP="00D872C7">
      <w:pPr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  <w:r w:rsidRPr="002F418D">
        <w:rPr>
          <w:rFonts w:cs="Times New Roman"/>
          <w:color w:val="auto"/>
          <w:szCs w:val="24"/>
        </w:rPr>
        <w:tab/>
        <w:t>The defendant is charged in [Count ______</w:t>
      </w:r>
      <w:proofErr w:type="gramStart"/>
      <w:r w:rsidRPr="002F418D">
        <w:rPr>
          <w:rFonts w:cs="Times New Roman"/>
          <w:color w:val="auto"/>
          <w:szCs w:val="24"/>
        </w:rPr>
        <w:t>_ ]</w:t>
      </w:r>
      <w:proofErr w:type="gramEnd"/>
      <w:r w:rsidRPr="002F418D">
        <w:rPr>
          <w:rFonts w:cs="Times New Roman"/>
          <w:color w:val="auto"/>
          <w:szCs w:val="24"/>
        </w:rPr>
        <w:t xml:space="preserve"> of the indictment with mailing threatening communications in violation of Section 876(c) of Title 18 of the United States Code.  </w:t>
      </w:r>
      <w:r w:rsidR="00E844DE" w:rsidRPr="00AE3DB5">
        <w:rPr>
          <w:color w:val="auto"/>
        </w:rPr>
        <w:t xml:space="preserve">For </w:t>
      </w:r>
      <w:r w:rsidRPr="00AE3DB5">
        <w:rPr>
          <w:rFonts w:cs="Times New Roman"/>
          <w:color w:val="auto"/>
          <w:szCs w:val="24"/>
        </w:rPr>
        <w:t>the defendant to be found guilty of that charge, the government must prove each of the following elements beyond a reasonable doubt:</w:t>
      </w:r>
    </w:p>
    <w:p w14:paraId="61CB557D" w14:textId="77777777" w:rsidR="00D872C7" w:rsidRPr="00AE3DB5" w:rsidRDefault="00D872C7" w:rsidP="00D872C7">
      <w:pPr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</w:p>
    <w:p w14:paraId="509B7473" w14:textId="77777777" w:rsidR="00D872C7" w:rsidRPr="00AE3DB5" w:rsidRDefault="00D872C7" w:rsidP="00D872C7">
      <w:pPr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  <w:r w:rsidRPr="00AE3DB5">
        <w:rPr>
          <w:rFonts w:cs="Times New Roman"/>
          <w:color w:val="auto"/>
          <w:szCs w:val="24"/>
        </w:rPr>
        <w:tab/>
        <w:t>First, the defendant knowingly [mailed] [arranged to have mailed] a [letter] [</w:t>
      </w:r>
      <w:r w:rsidRPr="00AE3DB5">
        <w:rPr>
          <w:rFonts w:cs="Times New Roman"/>
          <w:i/>
          <w:iCs/>
          <w:color w:val="auto"/>
          <w:szCs w:val="24"/>
        </w:rPr>
        <w:t>insert other form of communication</w:t>
      </w:r>
      <w:r w:rsidRPr="00AE3DB5">
        <w:rPr>
          <w:rFonts w:cs="Times New Roman"/>
          <w:color w:val="auto"/>
          <w:szCs w:val="24"/>
        </w:rPr>
        <w:t>] addressed to [</w:t>
      </w:r>
      <w:r w:rsidRPr="00AE3DB5">
        <w:rPr>
          <w:rFonts w:cs="Times New Roman"/>
          <w:i/>
          <w:iCs/>
          <w:color w:val="auto"/>
          <w:szCs w:val="24"/>
        </w:rPr>
        <w:t>insert name or title of natural person</w:t>
      </w:r>
      <w:r w:rsidRPr="00AE3DB5">
        <w:rPr>
          <w:rFonts w:cs="Times New Roman"/>
          <w:color w:val="auto"/>
          <w:szCs w:val="24"/>
        </w:rPr>
        <w:t xml:space="preserve">] containing a threat to [kidnap] [injure] any person; and  </w:t>
      </w:r>
      <w:r w:rsidRPr="00AE3DB5">
        <w:rPr>
          <w:rFonts w:cs="Times New Roman"/>
          <w:color w:val="auto"/>
          <w:szCs w:val="24"/>
        </w:rPr>
        <w:tab/>
      </w:r>
    </w:p>
    <w:p w14:paraId="76CF4A06" w14:textId="77777777" w:rsidR="00D872C7" w:rsidRPr="00AE3DB5" w:rsidRDefault="00D872C7" w:rsidP="00D872C7">
      <w:pPr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</w:p>
    <w:p w14:paraId="0957B7C0" w14:textId="735EC9DB" w:rsidR="00D872C7" w:rsidRPr="00AE3DB5" w:rsidRDefault="00D872C7" w:rsidP="00D872C7">
      <w:pPr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  <w:r w:rsidRPr="00AE3DB5">
        <w:rPr>
          <w:rFonts w:cs="Times New Roman"/>
          <w:color w:val="auto"/>
          <w:szCs w:val="24"/>
        </w:rPr>
        <w:tab/>
        <w:t>Second, the defendant intended to communicate a threat by such [</w:t>
      </w:r>
      <w:r w:rsidRPr="00AE3DB5">
        <w:rPr>
          <w:rFonts w:cs="Times New Roman"/>
          <w:i/>
          <w:iCs/>
          <w:color w:val="auto"/>
          <w:szCs w:val="24"/>
        </w:rPr>
        <w:t>insert form of communication</w:t>
      </w:r>
      <w:r w:rsidRPr="00AE3DB5">
        <w:rPr>
          <w:rFonts w:cs="Times New Roman"/>
          <w:color w:val="auto"/>
          <w:szCs w:val="24"/>
        </w:rPr>
        <w:t xml:space="preserve">].  </w:t>
      </w:r>
    </w:p>
    <w:p w14:paraId="05310610" w14:textId="77777777" w:rsidR="00D872C7" w:rsidRPr="002F418D" w:rsidRDefault="00D872C7" w:rsidP="00D872C7">
      <w:pPr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</w:p>
    <w:p w14:paraId="44C247F6" w14:textId="77777777" w:rsidR="00D872C7" w:rsidRPr="002F418D" w:rsidRDefault="00D872C7" w:rsidP="00D872C7">
      <w:pPr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  <w:r w:rsidRPr="002F418D">
        <w:rPr>
          <w:rFonts w:cs="Times New Roman"/>
          <w:color w:val="auto"/>
          <w:szCs w:val="24"/>
        </w:rPr>
        <w:tab/>
        <w:t xml:space="preserve">The government need not prove that the defendant intended to carry out the threat.  </w:t>
      </w:r>
    </w:p>
    <w:p w14:paraId="6C4F9263" w14:textId="77777777" w:rsidR="00D872C7" w:rsidRPr="002F418D" w:rsidRDefault="00D872C7" w:rsidP="00D872C7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auto"/>
          <w:szCs w:val="24"/>
        </w:rPr>
      </w:pPr>
    </w:p>
    <w:p w14:paraId="43AFE0FE" w14:textId="77777777" w:rsidR="00D872C7" w:rsidRPr="002F418D" w:rsidRDefault="00D872C7" w:rsidP="00D872C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auto"/>
          <w:szCs w:val="24"/>
        </w:rPr>
      </w:pPr>
      <w:r w:rsidRPr="002F418D">
        <w:rPr>
          <w:rFonts w:cs="Times New Roman"/>
          <w:b/>
          <w:bCs/>
          <w:color w:val="auto"/>
          <w:szCs w:val="24"/>
        </w:rPr>
        <w:t>Comment</w:t>
      </w:r>
    </w:p>
    <w:p w14:paraId="4D574205" w14:textId="77777777" w:rsidR="00D872C7" w:rsidRPr="002F418D" w:rsidRDefault="00D872C7" w:rsidP="00D872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</w:p>
    <w:p w14:paraId="278C9A2D" w14:textId="77777777" w:rsidR="00D872C7" w:rsidRPr="002F418D" w:rsidRDefault="00D872C7" w:rsidP="00D872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  <w:lang w:val="en-CA"/>
        </w:rPr>
      </w:pPr>
      <w:r w:rsidRPr="002F418D">
        <w:rPr>
          <w:rFonts w:cs="Times New Roman"/>
          <w:color w:val="auto"/>
          <w:szCs w:val="24"/>
        </w:rPr>
        <w:tab/>
        <w:t xml:space="preserve">This instruction is based on </w:t>
      </w:r>
      <w:r w:rsidRPr="002F418D">
        <w:rPr>
          <w:rFonts w:cs="Times New Roman"/>
          <w:i/>
          <w:iCs/>
          <w:color w:val="auto"/>
          <w:szCs w:val="24"/>
        </w:rPr>
        <w:t xml:space="preserve">United States v. Keyser, </w:t>
      </w:r>
      <w:r w:rsidRPr="002F418D">
        <w:rPr>
          <w:rFonts w:cs="Times New Roman"/>
          <w:color w:val="auto"/>
          <w:szCs w:val="24"/>
        </w:rPr>
        <w:t xml:space="preserve">704 F.3d 631 (9th Cir. 2012), </w:t>
      </w:r>
      <w:r w:rsidRPr="002F418D">
        <w:rPr>
          <w:rFonts w:cs="Times New Roman"/>
          <w:i/>
          <w:iCs/>
          <w:color w:val="auto"/>
          <w:szCs w:val="24"/>
          <w:lang w:val="en-CA"/>
        </w:rPr>
        <w:t>United States v. Havelock</w:t>
      </w:r>
      <w:r w:rsidRPr="002F418D">
        <w:rPr>
          <w:rFonts w:cs="Times New Roman"/>
          <w:color w:val="auto"/>
          <w:szCs w:val="24"/>
          <w:lang w:val="en-CA"/>
        </w:rPr>
        <w:t xml:space="preserve">, 664 F.3d 1284 (9th Cir. 2012), </w:t>
      </w:r>
      <w:r w:rsidRPr="002F418D">
        <w:rPr>
          <w:rFonts w:cs="Times New Roman"/>
          <w:i/>
          <w:iCs/>
          <w:color w:val="auto"/>
          <w:szCs w:val="24"/>
          <w:lang w:val="en-CA"/>
        </w:rPr>
        <w:t>United States v. King</w:t>
      </w:r>
      <w:r w:rsidRPr="002F418D">
        <w:rPr>
          <w:rFonts w:cs="Times New Roman"/>
          <w:color w:val="auto"/>
          <w:szCs w:val="24"/>
          <w:lang w:val="en-CA"/>
        </w:rPr>
        <w:t xml:space="preserve">, 122 F.3d 808 (9th Cir.1997), </w:t>
      </w:r>
      <w:r w:rsidRPr="002F418D">
        <w:rPr>
          <w:rFonts w:cs="Times New Roman"/>
          <w:i/>
          <w:iCs/>
          <w:color w:val="auto"/>
          <w:szCs w:val="24"/>
          <w:lang w:val="en-CA"/>
        </w:rPr>
        <w:t>United States v. Twine</w:t>
      </w:r>
      <w:r w:rsidRPr="002F418D">
        <w:rPr>
          <w:rFonts w:cs="Times New Roman"/>
          <w:color w:val="auto"/>
          <w:szCs w:val="24"/>
          <w:lang w:val="en-CA"/>
        </w:rPr>
        <w:t xml:space="preserve">, 853 F.2d 676 (9th Cir. 1988), and </w:t>
      </w:r>
      <w:r w:rsidRPr="002F418D">
        <w:rPr>
          <w:rFonts w:cs="Times New Roman"/>
          <w:i/>
          <w:iCs/>
          <w:color w:val="auto"/>
          <w:szCs w:val="24"/>
          <w:lang w:val="en-CA"/>
        </w:rPr>
        <w:t xml:space="preserve">United States v. </w:t>
      </w:r>
      <w:proofErr w:type="spellStart"/>
      <w:r w:rsidRPr="002F418D">
        <w:rPr>
          <w:rFonts w:cs="Times New Roman"/>
          <w:i/>
          <w:iCs/>
          <w:color w:val="auto"/>
          <w:szCs w:val="24"/>
          <w:lang w:val="en-CA"/>
        </w:rPr>
        <w:t>Sirhan</w:t>
      </w:r>
      <w:proofErr w:type="spellEnd"/>
      <w:r w:rsidRPr="002F418D">
        <w:rPr>
          <w:rFonts w:cs="Times New Roman"/>
          <w:color w:val="auto"/>
          <w:szCs w:val="24"/>
          <w:lang w:val="en-CA"/>
        </w:rPr>
        <w:t>, 504 F.2d 818, 820 (9th Cir.1974)</w:t>
      </w:r>
      <w:r w:rsidRPr="002F418D">
        <w:rPr>
          <w:rFonts w:cs="Times New Roman"/>
          <w:i/>
          <w:iCs/>
          <w:color w:val="auto"/>
          <w:szCs w:val="24"/>
          <w:lang w:val="en-CA"/>
        </w:rPr>
        <w:t>.</w:t>
      </w:r>
      <w:r w:rsidRPr="002F418D">
        <w:rPr>
          <w:rFonts w:cs="Times New Roman"/>
          <w:color w:val="auto"/>
          <w:szCs w:val="24"/>
          <w:lang w:val="en-CA"/>
        </w:rPr>
        <w:t xml:space="preserve">  While the Ninth Circuit has not offered comprehensive guidance concerning the requirements for conviction under 18 U.S.C. § 876, these cases are instructive.   </w:t>
      </w:r>
    </w:p>
    <w:p w14:paraId="58037A73" w14:textId="77777777" w:rsidR="00D872C7" w:rsidRPr="002F418D" w:rsidRDefault="00D872C7" w:rsidP="00D872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  <w:lang w:val="en-CA"/>
        </w:rPr>
      </w:pPr>
    </w:p>
    <w:p w14:paraId="187D8045" w14:textId="77777777" w:rsidR="00D872C7" w:rsidRPr="002F418D" w:rsidRDefault="00D872C7" w:rsidP="00D872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  <w:r w:rsidRPr="002F418D">
        <w:rPr>
          <w:rFonts w:cs="Times New Roman"/>
          <w:color w:val="auto"/>
          <w:szCs w:val="24"/>
          <w:lang w:val="en-CA"/>
        </w:rPr>
        <w:tab/>
        <w:t xml:space="preserve">Under 18 U.S.C. § 876, the threatening communications must be addressed to a natural person.  </w:t>
      </w:r>
      <w:r w:rsidRPr="002F418D">
        <w:rPr>
          <w:rFonts w:cs="Times New Roman"/>
          <w:i/>
          <w:iCs/>
          <w:color w:val="auto"/>
          <w:szCs w:val="24"/>
        </w:rPr>
        <w:t>Havelock</w:t>
      </w:r>
      <w:r w:rsidRPr="002F418D">
        <w:rPr>
          <w:rFonts w:cs="Times New Roman"/>
          <w:color w:val="auto"/>
          <w:szCs w:val="24"/>
        </w:rPr>
        <w:t xml:space="preserve">, 664 F.3d at 1286.  “[I]n order to determine whom a threatening communication is ‘addressed to,’ a court may consult the directions on the outside of the envelope or the packaging, the salutation line, if any, and the contents of the communication.”  </w:t>
      </w:r>
      <w:r w:rsidRPr="002F418D">
        <w:rPr>
          <w:rFonts w:cs="Times New Roman"/>
          <w:i/>
          <w:iCs/>
          <w:color w:val="auto"/>
          <w:szCs w:val="24"/>
        </w:rPr>
        <w:t>Id</w:t>
      </w:r>
      <w:r w:rsidRPr="002F418D">
        <w:rPr>
          <w:rFonts w:cs="Times New Roman"/>
          <w:color w:val="auto"/>
          <w:szCs w:val="24"/>
        </w:rPr>
        <w:t xml:space="preserve">. at 1296.  A general title such as “manager” is sufficient to meet this requirement.  </w:t>
      </w:r>
      <w:r w:rsidRPr="002F418D">
        <w:rPr>
          <w:rFonts w:cs="Times New Roman"/>
          <w:i/>
          <w:iCs/>
          <w:color w:val="auto"/>
          <w:szCs w:val="24"/>
        </w:rPr>
        <w:t>Keyser</w:t>
      </w:r>
      <w:r w:rsidRPr="002F418D">
        <w:rPr>
          <w:rFonts w:cs="Times New Roman"/>
          <w:color w:val="auto"/>
          <w:szCs w:val="24"/>
        </w:rPr>
        <w:t xml:space="preserve">, 704 F.3d at 641.  </w:t>
      </w:r>
      <w:r w:rsidRPr="002F418D">
        <w:rPr>
          <w:rFonts w:cs="Times New Roman"/>
          <w:color w:val="auto"/>
          <w:szCs w:val="24"/>
        </w:rPr>
        <w:tab/>
      </w:r>
    </w:p>
    <w:p w14:paraId="55E0C465" w14:textId="77777777" w:rsidR="00D872C7" w:rsidRPr="002F418D" w:rsidRDefault="00D872C7" w:rsidP="00AE3D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Times New Roman"/>
          <w:color w:val="auto"/>
          <w:szCs w:val="24"/>
        </w:rPr>
      </w:pPr>
    </w:p>
    <w:p w14:paraId="2ADB4117" w14:textId="5499B317" w:rsidR="00D872C7" w:rsidRPr="00AE3DB5" w:rsidRDefault="00D872C7" w:rsidP="00AE3DB5">
      <w:pPr>
        <w:spacing w:line="240" w:lineRule="auto"/>
        <w:rPr>
          <w:rFonts w:cs="Times New Roman"/>
          <w:color w:val="auto"/>
          <w:szCs w:val="24"/>
        </w:rPr>
      </w:pPr>
      <w:r w:rsidRPr="002F418D">
        <w:rPr>
          <w:rFonts w:cs="Times New Roman"/>
          <w:color w:val="auto"/>
          <w:szCs w:val="24"/>
        </w:rPr>
        <w:tab/>
        <w:t xml:space="preserve">There are two specific intent elements in 18 U.S.C. § 876.  The defendant must have both “knowingly” transmitted the communication and subjectively intended to threaten.  </w:t>
      </w:r>
      <w:r w:rsidRPr="002F418D">
        <w:rPr>
          <w:rFonts w:cs="Times New Roman"/>
          <w:i/>
          <w:iCs/>
          <w:color w:val="auto"/>
          <w:szCs w:val="24"/>
        </w:rPr>
        <w:t>Twine</w:t>
      </w:r>
      <w:r w:rsidRPr="002F418D">
        <w:rPr>
          <w:rFonts w:cs="Times New Roman"/>
          <w:color w:val="auto"/>
          <w:szCs w:val="24"/>
        </w:rPr>
        <w:t xml:space="preserve">, 853 F.2d at 680; </w:t>
      </w:r>
      <w:r w:rsidRPr="002F418D">
        <w:rPr>
          <w:rFonts w:cs="Times New Roman"/>
          <w:i/>
          <w:iCs/>
          <w:color w:val="auto"/>
          <w:szCs w:val="24"/>
        </w:rPr>
        <w:t>Keyser</w:t>
      </w:r>
      <w:r w:rsidRPr="002F418D">
        <w:rPr>
          <w:rFonts w:cs="Times New Roman"/>
          <w:color w:val="auto"/>
          <w:szCs w:val="24"/>
        </w:rPr>
        <w:t>, 704 F.3d at 638 (“In order to be subject to criminal liability for a threat, the speaker must subjectively intend to threaten.”).</w:t>
      </w:r>
      <w:r w:rsidR="00E939B1" w:rsidRPr="00AE3DB5">
        <w:rPr>
          <w:rFonts w:cs="Times New Roman"/>
          <w:color w:val="auto"/>
          <w:szCs w:val="24"/>
        </w:rPr>
        <w:t xml:space="preserve"> </w:t>
      </w:r>
      <w:r w:rsidRPr="00AE3DB5">
        <w:rPr>
          <w:rFonts w:cs="Times New Roman"/>
          <w:color w:val="auto"/>
          <w:szCs w:val="24"/>
        </w:rPr>
        <w:t xml:space="preserve"> </w:t>
      </w:r>
      <w:r w:rsidRPr="00AE3DB5">
        <w:rPr>
          <w:rFonts w:cs="Times New Roman"/>
          <w:i/>
          <w:iCs/>
          <w:color w:val="auto"/>
          <w:szCs w:val="24"/>
        </w:rPr>
        <w:t xml:space="preserve">United States v. </w:t>
      </w:r>
      <w:proofErr w:type="spellStart"/>
      <w:r w:rsidRPr="00AE3DB5">
        <w:rPr>
          <w:rFonts w:cs="Times New Roman"/>
          <w:i/>
          <w:iCs/>
          <w:color w:val="auto"/>
          <w:szCs w:val="24"/>
        </w:rPr>
        <w:t>Bachmeier</w:t>
      </w:r>
      <w:proofErr w:type="spellEnd"/>
      <w:r w:rsidRPr="00AE3DB5">
        <w:rPr>
          <w:rFonts w:cs="Times New Roman"/>
          <w:i/>
          <w:iCs/>
          <w:color w:val="auto"/>
          <w:szCs w:val="24"/>
        </w:rPr>
        <w:t xml:space="preserve"> </w:t>
      </w:r>
      <w:r w:rsidRPr="00AE3DB5">
        <w:rPr>
          <w:rFonts w:cs="Times New Roman"/>
          <w:color w:val="auto"/>
          <w:szCs w:val="24"/>
        </w:rPr>
        <w:t xml:space="preserve">clarifies that “subjective intent to threaten is the required mental state [under section 876], </w:t>
      </w:r>
      <w:r w:rsidRPr="00AE3DB5">
        <w:rPr>
          <w:rFonts w:cs="Times New Roman"/>
          <w:i/>
          <w:iCs/>
          <w:color w:val="auto"/>
          <w:szCs w:val="24"/>
        </w:rPr>
        <w:t>not</w:t>
      </w:r>
      <w:r w:rsidRPr="00AE3DB5">
        <w:rPr>
          <w:rFonts w:cs="Times New Roman"/>
          <w:color w:val="auto"/>
          <w:szCs w:val="24"/>
        </w:rPr>
        <w:t xml:space="preserve"> . . . mere ‘knowledge that the communication would be viewed as a threat.” 8 F.4th 1059, 1062 (9th Cir. 2021)</w:t>
      </w:r>
      <w:r w:rsidRPr="00AE3DB5">
        <w:rPr>
          <w:rFonts w:eastAsia="Times New Roman" w:cs="Times New Roman"/>
          <w:color w:val="auto"/>
          <w:szCs w:val="24"/>
        </w:rPr>
        <w:t xml:space="preserve"> (emphasis added). </w:t>
      </w:r>
      <w:r w:rsidRPr="00AE3DB5">
        <w:rPr>
          <w:rFonts w:cs="Times New Roman"/>
          <w:color w:val="auto"/>
          <w:szCs w:val="24"/>
        </w:rPr>
        <w:t xml:space="preserve"> However, the defendant need not have expected the threats to gain him a </w:t>
      </w:r>
      <w:proofErr w:type="gramStart"/>
      <w:r w:rsidRPr="00AE3DB5">
        <w:rPr>
          <w:rFonts w:cs="Times New Roman"/>
          <w:color w:val="auto"/>
          <w:szCs w:val="24"/>
        </w:rPr>
        <w:t>benefit, or</w:t>
      </w:r>
      <w:proofErr w:type="gramEnd"/>
      <w:r w:rsidRPr="00AE3DB5">
        <w:rPr>
          <w:rFonts w:cs="Times New Roman"/>
          <w:color w:val="auto"/>
          <w:szCs w:val="24"/>
        </w:rPr>
        <w:t xml:space="preserve"> have had the intent or ability to actually carry out the threat.  </w:t>
      </w:r>
      <w:r w:rsidRPr="00AE3DB5">
        <w:rPr>
          <w:rFonts w:cs="Times New Roman"/>
          <w:i/>
          <w:iCs/>
          <w:color w:val="auto"/>
          <w:szCs w:val="24"/>
        </w:rPr>
        <w:t>Planned Parenthood of the Columbia/</w:t>
      </w:r>
      <w:proofErr w:type="spellStart"/>
      <w:r w:rsidRPr="00AE3DB5">
        <w:rPr>
          <w:rFonts w:cs="Times New Roman"/>
          <w:i/>
          <w:iCs/>
          <w:color w:val="auto"/>
          <w:szCs w:val="24"/>
        </w:rPr>
        <w:t>Williamette</w:t>
      </w:r>
      <w:proofErr w:type="spellEnd"/>
      <w:r w:rsidRPr="00AE3DB5">
        <w:rPr>
          <w:rFonts w:cs="Times New Roman"/>
          <w:i/>
          <w:iCs/>
          <w:color w:val="auto"/>
          <w:szCs w:val="24"/>
        </w:rPr>
        <w:t>, Inc. v. Am. Coalition of Life Activists</w:t>
      </w:r>
      <w:r w:rsidRPr="00AE3DB5">
        <w:rPr>
          <w:rFonts w:cs="Times New Roman"/>
          <w:color w:val="auto"/>
          <w:szCs w:val="24"/>
        </w:rPr>
        <w:t xml:space="preserve">, 290 F.3d 1058, 1076 n.9 (9th Cir. 2002); </w:t>
      </w:r>
      <w:r w:rsidRPr="00AE3DB5">
        <w:rPr>
          <w:rFonts w:cs="Times New Roman"/>
          <w:i/>
          <w:iCs/>
          <w:color w:val="auto"/>
          <w:szCs w:val="24"/>
        </w:rPr>
        <w:t>King</w:t>
      </w:r>
      <w:r w:rsidRPr="00AE3DB5">
        <w:rPr>
          <w:rFonts w:cs="Times New Roman"/>
          <w:color w:val="auto"/>
          <w:szCs w:val="24"/>
        </w:rPr>
        <w:t>, 122 F.3d at 809.</w:t>
      </w:r>
    </w:p>
    <w:p w14:paraId="1899F2F6" w14:textId="650A94FE" w:rsidR="00D872C7" w:rsidRPr="00AE3DB5" w:rsidRDefault="00D872C7" w:rsidP="00AE3DB5">
      <w:pPr>
        <w:spacing w:line="240" w:lineRule="auto"/>
        <w:rPr>
          <w:rFonts w:cs="Times New Roman"/>
          <w:color w:val="auto"/>
          <w:szCs w:val="24"/>
        </w:rPr>
      </w:pPr>
    </w:p>
    <w:p w14:paraId="4DAE384C" w14:textId="781BE66C" w:rsidR="00D872C7" w:rsidRPr="00AE3DB5" w:rsidRDefault="00D872C7" w:rsidP="00AE3DB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szCs w:val="24"/>
        </w:rPr>
      </w:pPr>
      <w:r w:rsidRPr="00AE3DB5">
        <w:rPr>
          <w:rFonts w:cs="Times New Roman"/>
          <w:color w:val="auto"/>
          <w:szCs w:val="24"/>
          <w:lang w:val="en-CA"/>
        </w:rPr>
        <w:fldChar w:fldCharType="begin"/>
      </w:r>
      <w:r w:rsidRPr="00AE3DB5">
        <w:rPr>
          <w:rFonts w:cs="Times New Roman"/>
          <w:color w:val="auto"/>
          <w:szCs w:val="24"/>
          <w:lang w:val="en-CA"/>
        </w:rPr>
        <w:instrText xml:space="preserve"> SEQ CHAPTER \h \r 1</w:instrText>
      </w:r>
      <w:r w:rsidRPr="00AE3DB5">
        <w:rPr>
          <w:rFonts w:cs="Times New Roman"/>
          <w:color w:val="auto"/>
          <w:szCs w:val="24"/>
          <w:lang w:val="en-CA"/>
        </w:rPr>
        <w:fldChar w:fldCharType="end"/>
      </w:r>
      <w:r w:rsidRPr="00AE3DB5">
        <w:rPr>
          <w:rFonts w:cs="Times New Roman"/>
          <w:i/>
          <w:iCs/>
          <w:color w:val="auto"/>
          <w:szCs w:val="24"/>
        </w:rPr>
        <w:t>Approved 9/2021</w:t>
      </w:r>
    </w:p>
    <w:p w14:paraId="355BA9FA" w14:textId="2FB28DBB" w:rsidR="00D872C7" w:rsidRDefault="00D872C7" w:rsidP="00AE3DB5">
      <w:pPr>
        <w:spacing w:line="240" w:lineRule="auto"/>
      </w:pPr>
      <w:r w:rsidRPr="00D872C7">
        <w:rPr>
          <w:rFonts w:cs="Times New Roman"/>
          <w:color w:val="auto"/>
          <w:szCs w:val="24"/>
        </w:rPr>
        <w:tab/>
      </w:r>
      <w:r w:rsidRPr="00D872C7">
        <w:rPr>
          <w:rFonts w:cs="Times New Roman"/>
          <w:color w:val="auto"/>
          <w:szCs w:val="24"/>
        </w:rPr>
        <w:tab/>
      </w:r>
      <w:r w:rsidRPr="00D872C7">
        <w:rPr>
          <w:rFonts w:cs="Times New Roman"/>
          <w:color w:val="auto"/>
          <w:szCs w:val="24"/>
        </w:rPr>
        <w:tab/>
      </w:r>
      <w:r w:rsidRPr="00D872C7">
        <w:rPr>
          <w:rFonts w:cs="Times New Roman"/>
          <w:color w:val="auto"/>
          <w:szCs w:val="24"/>
        </w:rPr>
        <w:tab/>
      </w:r>
      <w:r w:rsidRPr="00D872C7">
        <w:rPr>
          <w:rFonts w:cs="Times New Roman"/>
          <w:color w:val="auto"/>
          <w:szCs w:val="24"/>
        </w:rPr>
        <w:tab/>
      </w:r>
    </w:p>
    <w:sectPr w:rsidR="00D872C7" w:rsidSect="005E35D3">
      <w:pgSz w:w="12240" w:h="15840"/>
      <w:pgMar w:top="1350" w:right="1440" w:bottom="1440" w:left="1440" w:header="115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C7"/>
    <w:rsid w:val="00023B21"/>
    <w:rsid w:val="003A250A"/>
    <w:rsid w:val="005E35D3"/>
    <w:rsid w:val="00887257"/>
    <w:rsid w:val="00AE3DB5"/>
    <w:rsid w:val="00D872C7"/>
    <w:rsid w:val="00E844DE"/>
    <w:rsid w:val="00E939B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BD1F"/>
  <w15:chartTrackingRefBased/>
  <w15:docId w15:val="{CA106E2B-4A32-4863-932D-0D57ACBA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2C7"/>
    <w:pPr>
      <w:spacing w:after="0" w:line="276" w:lineRule="auto"/>
    </w:pPr>
    <w:rPr>
      <w:rFonts w:ascii="Times New Roman" w:hAnsi="Times New Roman"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2C7"/>
    <w:pPr>
      <w:spacing w:after="0" w:line="240" w:lineRule="auto"/>
    </w:pPr>
    <w:rPr>
      <w:rFonts w:ascii="Times New Roman" w:hAnsi="Times New Roman"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Aejung Yoon</cp:lastModifiedBy>
  <cp:revision>2</cp:revision>
  <dcterms:created xsi:type="dcterms:W3CDTF">2021-10-28T20:08:00Z</dcterms:created>
  <dcterms:modified xsi:type="dcterms:W3CDTF">2021-10-28T20:08:00Z</dcterms:modified>
</cp:coreProperties>
</file>