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440F0" w14:textId="49158658" w:rsidR="00B36C48" w:rsidRDefault="00B36C48" w:rsidP="00B36C48">
      <w:pPr>
        <w:pStyle w:val="Heading1"/>
        <w:spacing w:before="79"/>
        <w:ind w:left="120"/>
        <w:jc w:val="left"/>
      </w:pPr>
      <w:r>
        <w:t>8.</w:t>
      </w:r>
      <w:r>
        <w:rPr>
          <w:spacing w:val="56"/>
        </w:rPr>
        <w:t xml:space="preserve"> </w:t>
      </w:r>
      <w:r>
        <w:t>CIVIL</w:t>
      </w:r>
      <w:r>
        <w:rPr>
          <w:spacing w:val="-14"/>
        </w:rPr>
        <w:t xml:space="preserve"> </w:t>
      </w:r>
      <w:r>
        <w:rPr>
          <w:spacing w:val="-4"/>
        </w:rPr>
        <w:t>RICO</w:t>
      </w:r>
    </w:p>
    <w:p w14:paraId="78576DEC" w14:textId="77777777" w:rsidR="005F374F" w:rsidRDefault="005F374F" w:rsidP="00B36C48">
      <w:pPr>
        <w:autoSpaceDE w:val="0"/>
        <w:autoSpaceDN w:val="0"/>
        <w:adjustRightInd w:val="0"/>
        <w:spacing w:after="0"/>
        <w:jc w:val="center"/>
        <w:rPr>
          <w:rFonts w:ascii="Times New Roman" w:hAnsi="Times New Roman" w:cs="Times New Roman"/>
          <w:b/>
          <w:bCs/>
          <w:sz w:val="24"/>
          <w:szCs w:val="24"/>
        </w:rPr>
      </w:pPr>
    </w:p>
    <w:p w14:paraId="432AE2FC" w14:textId="7A53B519" w:rsidR="00B36C48" w:rsidRPr="00863C01" w:rsidRDefault="00B36C48" w:rsidP="00B36C48">
      <w:pPr>
        <w:autoSpaceDE w:val="0"/>
        <w:autoSpaceDN w:val="0"/>
        <w:adjustRightInd w:val="0"/>
        <w:spacing w:after="0"/>
        <w:jc w:val="center"/>
        <w:rPr>
          <w:rFonts w:ascii="Times New Roman" w:hAnsi="Times New Roman" w:cs="Times New Roman"/>
          <w:sz w:val="24"/>
          <w:szCs w:val="24"/>
        </w:rPr>
      </w:pPr>
      <w:r w:rsidRPr="00863C01">
        <w:rPr>
          <w:rFonts w:ascii="Times New Roman" w:hAnsi="Times New Roman" w:cs="Times New Roman"/>
          <w:b/>
          <w:bCs/>
          <w:sz w:val="24"/>
          <w:szCs w:val="24"/>
        </w:rPr>
        <w:t>Comment</w:t>
      </w:r>
    </w:p>
    <w:p w14:paraId="5F52BA28" w14:textId="77777777" w:rsidR="00B36C48" w:rsidRPr="00863C01" w:rsidRDefault="00B36C48" w:rsidP="00B36C48">
      <w:pPr>
        <w:autoSpaceDE w:val="0"/>
        <w:autoSpaceDN w:val="0"/>
        <w:adjustRightInd w:val="0"/>
        <w:spacing w:after="0"/>
        <w:rPr>
          <w:rFonts w:ascii="Times New Roman" w:hAnsi="Times New Roman" w:cs="Times New Roman"/>
          <w:sz w:val="24"/>
          <w:szCs w:val="24"/>
        </w:rPr>
      </w:pPr>
    </w:p>
    <w:p w14:paraId="03BC7DDB" w14:textId="77777777" w:rsidR="00B36C48" w:rsidRPr="00DE0C4F" w:rsidRDefault="00B36C48" w:rsidP="00B36C48">
      <w:pPr>
        <w:autoSpaceDE w:val="0"/>
        <w:autoSpaceDN w:val="0"/>
        <w:adjustRightInd w:val="0"/>
        <w:rPr>
          <w:rFonts w:ascii="Times New Roman" w:eastAsia="Calibri" w:hAnsi="Times New Roman" w:cs="Times New Roman"/>
          <w:kern w:val="0"/>
          <w:sz w:val="24"/>
          <w:szCs w:val="24"/>
          <w14:ligatures w14:val="none"/>
        </w:rPr>
      </w:pPr>
      <w:r w:rsidRPr="00863C01">
        <w:rPr>
          <w:rFonts w:ascii="Times New Roman" w:hAnsi="Times New Roman" w:cs="Times New Roman"/>
          <w:sz w:val="24"/>
          <w:szCs w:val="24"/>
        </w:rPr>
        <w:tab/>
      </w:r>
      <w:r w:rsidRPr="00DE0C4F">
        <w:rPr>
          <w:rFonts w:ascii="Times New Roman" w:eastAsia="Calibri" w:hAnsi="Times New Roman" w:cs="Times New Roman"/>
          <w:kern w:val="0"/>
          <w:sz w:val="24"/>
          <w:szCs w:val="24"/>
          <w14:ligatures w14:val="none"/>
        </w:rPr>
        <w:t xml:space="preserve">A plaintiff may bring a private civil action for violations of the Racketeer Influenced and Corrupt Organizations Act (RICO).  </w:t>
      </w:r>
      <w:r w:rsidRPr="00DE0C4F">
        <w:rPr>
          <w:rFonts w:ascii="Times New Roman" w:eastAsia="Calibri" w:hAnsi="Times New Roman" w:cs="Times New Roman"/>
          <w:i/>
          <w:iCs/>
          <w:kern w:val="0"/>
          <w:sz w:val="24"/>
          <w:szCs w:val="24"/>
          <w14:ligatures w14:val="none"/>
        </w:rPr>
        <w:t xml:space="preserve">See </w:t>
      </w:r>
      <w:r w:rsidRPr="00DE0C4F">
        <w:rPr>
          <w:rFonts w:ascii="Times New Roman" w:eastAsia="Calibri" w:hAnsi="Times New Roman" w:cs="Times New Roman"/>
          <w:kern w:val="0"/>
          <w:sz w:val="24"/>
          <w:szCs w:val="24"/>
          <w14:ligatures w14:val="none"/>
        </w:rPr>
        <w:t xml:space="preserve">18 U.S.C. § 1964(c).  The RICO statute prohibits four types of activities: (1) investing in, (2) acquiring, or (3) conducting or participating in an enterprise with income derived from a pattern of racketeering activity or collection of an unlawful debt, or (4) conspiring to commit any of the first three types of activity.  18 U.S.C. § 1962(a)–(d).  RICO was “intended to combat organized crime, not to provide a federal cause of action and treble damages to every tort plaintiff.”  </w:t>
      </w:r>
      <w:r w:rsidRPr="00DE0C4F">
        <w:rPr>
          <w:rFonts w:ascii="Times New Roman" w:eastAsia="Calibri" w:hAnsi="Times New Roman" w:cs="Times New Roman"/>
          <w:i/>
          <w:iCs/>
          <w:kern w:val="0"/>
          <w:sz w:val="24"/>
          <w:szCs w:val="24"/>
          <w14:ligatures w14:val="none"/>
        </w:rPr>
        <w:t xml:space="preserve">Oscar v. Univ. Students Co-op. </w:t>
      </w:r>
      <w:proofErr w:type="spellStart"/>
      <w:r w:rsidRPr="00DE0C4F">
        <w:rPr>
          <w:rFonts w:ascii="Times New Roman" w:eastAsia="Calibri" w:hAnsi="Times New Roman" w:cs="Times New Roman"/>
          <w:i/>
          <w:iCs/>
          <w:kern w:val="0"/>
          <w:sz w:val="24"/>
          <w:szCs w:val="24"/>
          <w14:ligatures w14:val="none"/>
        </w:rPr>
        <w:t>Ass’n</w:t>
      </w:r>
      <w:proofErr w:type="spellEnd"/>
      <w:r w:rsidRPr="00DE0C4F">
        <w:rPr>
          <w:rFonts w:ascii="Times New Roman" w:eastAsia="Calibri" w:hAnsi="Times New Roman" w:cs="Times New Roman"/>
          <w:kern w:val="0"/>
          <w:sz w:val="24"/>
          <w:szCs w:val="24"/>
          <w14:ligatures w14:val="none"/>
        </w:rPr>
        <w:t xml:space="preserve">, 965 F.2d 783, 786 (9th Cir. 1992), </w:t>
      </w:r>
      <w:r w:rsidRPr="00DE0C4F">
        <w:rPr>
          <w:rFonts w:ascii="Times New Roman" w:eastAsia="Calibri" w:hAnsi="Times New Roman" w:cs="Times New Roman"/>
          <w:i/>
          <w:iCs/>
          <w:kern w:val="0"/>
          <w:sz w:val="24"/>
          <w:szCs w:val="24"/>
          <w14:ligatures w14:val="none"/>
        </w:rPr>
        <w:t>abrogated on other grounds by Diaz v. Gates</w:t>
      </w:r>
      <w:r w:rsidRPr="00DE0C4F">
        <w:rPr>
          <w:rFonts w:ascii="Times New Roman" w:eastAsia="Calibri" w:hAnsi="Times New Roman" w:cs="Times New Roman"/>
          <w:kern w:val="0"/>
          <w:sz w:val="24"/>
          <w:szCs w:val="24"/>
          <w14:ligatures w14:val="none"/>
        </w:rPr>
        <w:t xml:space="preserve">, 420 F.3d 897 (9th Cir. 2005).  However, the statute is to “be liberally construed to effectuate its remedial purposes.”  </w:t>
      </w:r>
      <w:r w:rsidRPr="00DE0C4F">
        <w:rPr>
          <w:rFonts w:ascii="Times New Roman" w:eastAsia="Calibri" w:hAnsi="Times New Roman" w:cs="Times New Roman"/>
          <w:i/>
          <w:iCs/>
          <w:kern w:val="0"/>
          <w:sz w:val="24"/>
          <w:szCs w:val="24"/>
          <w14:ligatures w14:val="none"/>
        </w:rPr>
        <w:t>Odom v. Microsoft Corp</w:t>
      </w:r>
      <w:r w:rsidRPr="00DE0C4F">
        <w:rPr>
          <w:rFonts w:ascii="Times New Roman" w:eastAsia="Calibri" w:hAnsi="Times New Roman" w:cs="Times New Roman"/>
          <w:kern w:val="0"/>
          <w:sz w:val="24"/>
          <w:szCs w:val="24"/>
          <w14:ligatures w14:val="none"/>
        </w:rPr>
        <w:t>., 486 F.3d 541, 546 (9th Cir. 2007).</w:t>
      </w:r>
    </w:p>
    <w:p w14:paraId="7134EE8E"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16B0C00A"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As to the element of causation, a plaintiff must prove that the defendant’s unlawful conduct was the proximate cause of the plaintiff’s injury.  </w:t>
      </w:r>
      <w:proofErr w:type="spellStart"/>
      <w:r w:rsidRPr="00DE0C4F">
        <w:rPr>
          <w:rFonts w:ascii="Times New Roman" w:eastAsia="Calibri" w:hAnsi="Times New Roman" w:cs="Times New Roman"/>
          <w:i/>
          <w:iCs/>
          <w:kern w:val="0"/>
          <w:sz w:val="24"/>
          <w:szCs w:val="24"/>
          <w14:ligatures w14:val="none"/>
        </w:rPr>
        <w:t>Harmoni</w:t>
      </w:r>
      <w:proofErr w:type="spellEnd"/>
      <w:r w:rsidRPr="00DE0C4F">
        <w:rPr>
          <w:rFonts w:ascii="Times New Roman" w:eastAsia="Calibri" w:hAnsi="Times New Roman" w:cs="Times New Roman"/>
          <w:i/>
          <w:iCs/>
          <w:kern w:val="0"/>
          <w:sz w:val="24"/>
          <w:szCs w:val="24"/>
          <w14:ligatures w14:val="none"/>
        </w:rPr>
        <w:t xml:space="preserve"> Int’l Spice, Inc. v. Hume</w:t>
      </w:r>
      <w:r w:rsidRPr="00DE0C4F">
        <w:rPr>
          <w:rFonts w:ascii="Times New Roman" w:eastAsia="Calibri" w:hAnsi="Times New Roman" w:cs="Times New Roman"/>
          <w:kern w:val="0"/>
          <w:sz w:val="24"/>
          <w:szCs w:val="24"/>
          <w14:ligatures w14:val="none"/>
        </w:rPr>
        <w:t>, 914 F.3d 648, 651 (9th Cir. 2019)</w:t>
      </w:r>
      <w:r>
        <w:rPr>
          <w:rFonts w:ascii="Times New Roman" w:eastAsia="Calibri" w:hAnsi="Times New Roman" w:cs="Times New Roman"/>
          <w:kern w:val="0"/>
          <w:sz w:val="24"/>
          <w:szCs w:val="24"/>
          <w14:ligatures w14:val="none"/>
        </w:rPr>
        <w:t>.</w:t>
      </w:r>
      <w:r w:rsidRPr="00DE0C4F">
        <w:rPr>
          <w:rFonts w:ascii="Times New Roman" w:eastAsia="Calibri" w:hAnsi="Times New Roman" w:cs="Times New Roman"/>
          <w:kern w:val="0"/>
          <w:sz w:val="24"/>
          <w:szCs w:val="24"/>
          <w14:ligatures w14:val="none"/>
        </w:rPr>
        <w:t xml:space="preserve">  </w:t>
      </w:r>
    </w:p>
    <w:p w14:paraId="15C3FC41"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1AB0FB12"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RICO claims are most commonly brought under 18 U.S.C. § 1962(c) and (d), the conduct and conspiracy prongs of the statute.  </w:t>
      </w:r>
    </w:p>
    <w:p w14:paraId="129C9086"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1B6113E3" w14:textId="77777777" w:rsidR="00B36C48" w:rsidRPr="00DE0C4F" w:rsidRDefault="00B36C48" w:rsidP="00B36C48">
      <w:pPr>
        <w:autoSpaceDE w:val="0"/>
        <w:autoSpaceDN w:val="0"/>
        <w:adjustRightInd w:val="0"/>
        <w:spacing w:after="0"/>
        <w:jc w:val="center"/>
        <w:rPr>
          <w:rFonts w:ascii="Times New Roman" w:eastAsia="Calibri" w:hAnsi="Times New Roman" w:cs="Times New Roman"/>
          <w:kern w:val="0"/>
          <w:sz w:val="24"/>
          <w:szCs w:val="24"/>
          <w14:ligatures w14:val="none"/>
        </w:rPr>
      </w:pPr>
      <w:r w:rsidRPr="00DE0C4F">
        <w:rPr>
          <w:rFonts w:ascii="Times New Roman" w:eastAsia="Calibri" w:hAnsi="Times New Roman" w:cs="Times New Roman"/>
          <w:b/>
          <w:bCs/>
          <w:kern w:val="0"/>
          <w:sz w:val="24"/>
          <w:szCs w:val="24"/>
          <w14:ligatures w14:val="none"/>
        </w:rPr>
        <w:t>18 U.S.C. § 1962(c)</w:t>
      </w:r>
    </w:p>
    <w:p w14:paraId="7644AF92"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44107883" w14:textId="5F0C4420"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To recover under § 1962(c), a plaintiff must prove (1) conduct, (2) of an enterprise, (3) through a pattern, (4) of racketeering activity (known as “predicate acts”), (5) causing injury to the plaintiff’s “business or property” by the conduct constituting the violation.  </w:t>
      </w:r>
      <w:r w:rsidRPr="00DE0C4F">
        <w:rPr>
          <w:rFonts w:ascii="Times New Roman" w:eastAsia="Calibri" w:hAnsi="Times New Roman" w:cs="Times New Roman"/>
          <w:i/>
          <w:iCs/>
          <w:kern w:val="0"/>
          <w:sz w:val="24"/>
          <w:szCs w:val="24"/>
          <w14:ligatures w14:val="none"/>
        </w:rPr>
        <w:t>See Living Designs, Inc. v. E.I. Dupont de Nemours &amp; Co.</w:t>
      </w:r>
      <w:r w:rsidRPr="00DE0C4F">
        <w:rPr>
          <w:rFonts w:ascii="Times New Roman" w:eastAsia="Calibri" w:hAnsi="Times New Roman" w:cs="Times New Roman"/>
          <w:kern w:val="0"/>
          <w:sz w:val="24"/>
          <w:szCs w:val="24"/>
          <w14:ligatures w14:val="none"/>
        </w:rPr>
        <w:t xml:space="preserve">, 431 F.3d 353, 361 (9th Cir. 2005) (quoting </w:t>
      </w:r>
      <w:r w:rsidRPr="00DE0C4F">
        <w:rPr>
          <w:rFonts w:ascii="Times New Roman" w:eastAsia="Calibri" w:hAnsi="Times New Roman" w:cs="Times New Roman"/>
          <w:i/>
          <w:iCs/>
          <w:kern w:val="0"/>
          <w:sz w:val="24"/>
          <w:szCs w:val="24"/>
          <w14:ligatures w14:val="none"/>
        </w:rPr>
        <w:t>Grimmett v. Brown</w:t>
      </w:r>
      <w:r w:rsidRPr="00DE0C4F">
        <w:rPr>
          <w:rFonts w:ascii="Times New Roman" w:eastAsia="Calibri" w:hAnsi="Times New Roman" w:cs="Times New Roman"/>
          <w:kern w:val="0"/>
          <w:sz w:val="24"/>
          <w:szCs w:val="24"/>
          <w14:ligatures w14:val="none"/>
        </w:rPr>
        <w:t>, 75 F.3d 506, 510 (9th Cir. 1996))</w:t>
      </w:r>
      <w:r w:rsidR="00F109E1">
        <w:rPr>
          <w:rFonts w:ascii="Times New Roman" w:eastAsia="Calibri" w:hAnsi="Times New Roman" w:cs="Times New Roman"/>
          <w:kern w:val="0"/>
          <w:sz w:val="24"/>
          <w:szCs w:val="24"/>
          <w14:ligatures w14:val="none"/>
        </w:rPr>
        <w:t>.</w:t>
      </w:r>
    </w:p>
    <w:p w14:paraId="46EC18D3"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6A812B52"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r>
      <w:r w:rsidRPr="00DE0C4F">
        <w:rPr>
          <w:rFonts w:ascii="Times New Roman" w:eastAsia="Calibri" w:hAnsi="Times New Roman" w:cs="Times New Roman"/>
          <w:b/>
          <w:bCs/>
          <w:kern w:val="0"/>
          <w:sz w:val="24"/>
          <w:szCs w:val="24"/>
          <w14:ligatures w14:val="none"/>
        </w:rPr>
        <w:t xml:space="preserve">Conduct: </w:t>
      </w:r>
      <w:r w:rsidRPr="00DE0C4F">
        <w:rPr>
          <w:rFonts w:ascii="Times New Roman" w:eastAsia="Calibri" w:hAnsi="Times New Roman" w:cs="Times New Roman"/>
          <w:kern w:val="0"/>
          <w:sz w:val="24"/>
          <w:szCs w:val="24"/>
          <w14:ligatures w14:val="none"/>
        </w:rPr>
        <w:t xml:space="preserve"> The conduct element of § 1962(c) requires that the defendant have some part in directing the affairs of the enterprise.  Liability is not limited to those with primary responsibility for the enterprise's affairs, nor is a formal position within the enterprise required.  However, the defendant is not liable under § 1962(c) unless the defendant has participated in the operation or management of the enterprise itself.  </w:t>
      </w:r>
      <w:r w:rsidRPr="00DE0C4F">
        <w:rPr>
          <w:rFonts w:ascii="Times New Roman" w:eastAsia="Calibri" w:hAnsi="Times New Roman" w:cs="Times New Roman"/>
          <w:i/>
          <w:iCs/>
          <w:kern w:val="0"/>
          <w:sz w:val="24"/>
          <w:szCs w:val="24"/>
          <w14:ligatures w14:val="none"/>
        </w:rPr>
        <w:t>See Reves v. Ernst &amp; Young</w:t>
      </w:r>
      <w:r w:rsidRPr="00DE0C4F">
        <w:rPr>
          <w:rFonts w:ascii="Times New Roman" w:eastAsia="Calibri" w:hAnsi="Times New Roman" w:cs="Times New Roman"/>
          <w:kern w:val="0"/>
          <w:sz w:val="24"/>
          <w:szCs w:val="24"/>
          <w14:ligatures w14:val="none"/>
        </w:rPr>
        <w:t>, 507 U.S. 170, 179 (1993) (holding that accountants hired to perform audit of cooperative’s records did not participate in “operation or management” of cooperative’s affairs by failing to inform cooperative’s board of directors that cooperative was arguably insolvent).  In determining whether the conduct element has been satisfied, relevant questions include whether the defendant “</w:t>
      </w:r>
      <w:proofErr w:type="spellStart"/>
      <w:r w:rsidRPr="00DE0C4F">
        <w:rPr>
          <w:rFonts w:ascii="Times New Roman" w:eastAsia="Calibri" w:hAnsi="Times New Roman" w:cs="Times New Roman"/>
          <w:kern w:val="0"/>
          <w:sz w:val="24"/>
          <w:szCs w:val="24"/>
          <w14:ligatures w14:val="none"/>
        </w:rPr>
        <w:t>occup</w:t>
      </w:r>
      <w:proofErr w:type="spellEnd"/>
      <w:r w:rsidRPr="00DE0C4F">
        <w:rPr>
          <w:rFonts w:ascii="Times New Roman" w:eastAsia="Calibri" w:hAnsi="Times New Roman" w:cs="Times New Roman"/>
          <w:kern w:val="0"/>
          <w:sz w:val="24"/>
          <w:szCs w:val="24"/>
          <w14:ligatures w14:val="none"/>
        </w:rPr>
        <w:t>[</w:t>
      </w:r>
      <w:proofErr w:type="spellStart"/>
      <w:r w:rsidRPr="00DE0C4F">
        <w:rPr>
          <w:rFonts w:ascii="Times New Roman" w:eastAsia="Calibri" w:hAnsi="Times New Roman" w:cs="Times New Roman"/>
          <w:kern w:val="0"/>
          <w:sz w:val="24"/>
          <w:szCs w:val="24"/>
          <w14:ligatures w14:val="none"/>
        </w:rPr>
        <w:t>ies</w:t>
      </w:r>
      <w:proofErr w:type="spellEnd"/>
      <w:r w:rsidRPr="00DE0C4F">
        <w:rPr>
          <w:rFonts w:ascii="Times New Roman" w:eastAsia="Calibri" w:hAnsi="Times New Roman" w:cs="Times New Roman"/>
          <w:kern w:val="0"/>
          <w:sz w:val="24"/>
          <w:szCs w:val="24"/>
          <w14:ligatures w14:val="none"/>
        </w:rPr>
        <w:t xml:space="preserve">] a position in the ‘chain of command’,” “knowingly implement[s] [the enterprise’s] decisions,” or is “indispensable to achievement of the enterprise’s goal.”  </w:t>
      </w:r>
      <w:r w:rsidRPr="00DE0C4F">
        <w:rPr>
          <w:rFonts w:ascii="Times New Roman" w:eastAsia="Calibri" w:hAnsi="Times New Roman" w:cs="Times New Roman"/>
          <w:i/>
          <w:iCs/>
          <w:kern w:val="0"/>
          <w:sz w:val="24"/>
          <w:szCs w:val="24"/>
          <w14:ligatures w14:val="none"/>
        </w:rPr>
        <w:t>Walter v. Drayson</w:t>
      </w:r>
      <w:r w:rsidRPr="00DE0C4F">
        <w:rPr>
          <w:rFonts w:ascii="Times New Roman" w:eastAsia="Calibri" w:hAnsi="Times New Roman" w:cs="Times New Roman"/>
          <w:kern w:val="0"/>
          <w:sz w:val="24"/>
          <w:szCs w:val="24"/>
          <w14:ligatures w14:val="none"/>
        </w:rPr>
        <w:t>, 538 F.3d 1244, 1249 (9th Cir. 2008) (holding that attorney’s performance of services for alleged associated-in-fact enterprise was not sufficient to satisfy § 1962(c)’s conduct element).</w:t>
      </w:r>
    </w:p>
    <w:p w14:paraId="7867CC5E"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41181B59"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lastRenderedPageBreak/>
        <w:tab/>
      </w:r>
      <w:r w:rsidRPr="00DE0C4F">
        <w:rPr>
          <w:rFonts w:ascii="Times New Roman" w:eastAsia="Calibri" w:hAnsi="Times New Roman" w:cs="Times New Roman"/>
          <w:b/>
          <w:bCs/>
          <w:kern w:val="0"/>
          <w:sz w:val="24"/>
          <w:szCs w:val="24"/>
          <w14:ligatures w14:val="none"/>
        </w:rPr>
        <w:t xml:space="preserve">Enterprise: </w:t>
      </w:r>
      <w:r w:rsidRPr="00DE0C4F">
        <w:rPr>
          <w:rFonts w:ascii="Times New Roman" w:eastAsia="Calibri" w:hAnsi="Times New Roman" w:cs="Times New Roman"/>
          <w:kern w:val="0"/>
          <w:sz w:val="24"/>
          <w:szCs w:val="24"/>
          <w14:ligatures w14:val="none"/>
        </w:rPr>
        <w:t xml:space="preserve"> An “enterprise includes any individual, partnership, corporation, association, or other legal entity, and any union or group of individuals associated in fact although not a legal entity.”  18 U.S.C. § 1961(4).  The “definition is not very demanding.” </w:t>
      </w:r>
    </w:p>
    <w:p w14:paraId="54DE0012"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i/>
          <w:iCs/>
          <w:kern w:val="0"/>
          <w:sz w:val="24"/>
          <w:szCs w:val="24"/>
          <w14:ligatures w14:val="none"/>
        </w:rPr>
        <w:t>Odom</w:t>
      </w:r>
      <w:r w:rsidRPr="00DE0C4F">
        <w:rPr>
          <w:rFonts w:ascii="Times New Roman" w:eastAsia="Calibri" w:hAnsi="Times New Roman" w:cs="Times New Roman"/>
          <w:kern w:val="0"/>
          <w:sz w:val="24"/>
          <w:szCs w:val="24"/>
          <w14:ligatures w14:val="none"/>
        </w:rPr>
        <w:t xml:space="preserve">, 486 F.3d at 548.  RICO does not require that either the racketeering enterprise or the predicate acts of racketeering be motivated by an economic purpose.  </w:t>
      </w:r>
      <w:proofErr w:type="spellStart"/>
      <w:r w:rsidRPr="00DE0C4F">
        <w:rPr>
          <w:rFonts w:ascii="Times New Roman" w:eastAsia="Calibri" w:hAnsi="Times New Roman" w:cs="Times New Roman"/>
          <w:i/>
          <w:iCs/>
          <w:kern w:val="0"/>
          <w:sz w:val="24"/>
          <w:szCs w:val="24"/>
          <w14:ligatures w14:val="none"/>
        </w:rPr>
        <w:t>Nat’l</w:t>
      </w:r>
      <w:proofErr w:type="spellEnd"/>
      <w:r w:rsidRPr="00DE0C4F">
        <w:rPr>
          <w:rFonts w:ascii="Times New Roman" w:eastAsia="Calibri" w:hAnsi="Times New Roman" w:cs="Times New Roman"/>
          <w:i/>
          <w:iCs/>
          <w:kern w:val="0"/>
          <w:sz w:val="24"/>
          <w:szCs w:val="24"/>
          <w14:ligatures w14:val="none"/>
        </w:rPr>
        <w:t xml:space="preserve"> Org. for Women, Inc. v. Scheidler</w:t>
      </w:r>
      <w:r w:rsidRPr="00DE0C4F">
        <w:rPr>
          <w:rFonts w:ascii="Times New Roman" w:eastAsia="Calibri" w:hAnsi="Times New Roman" w:cs="Times New Roman"/>
          <w:kern w:val="0"/>
          <w:sz w:val="24"/>
          <w:szCs w:val="24"/>
          <w14:ligatures w14:val="none"/>
        </w:rPr>
        <w:t>, 510 U.S. 249, 262 (1994).</w:t>
      </w:r>
    </w:p>
    <w:p w14:paraId="63B58B1A"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46A6591C"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For purposes of § 1962(c), a single individual or entity cannot be both the RICO enterprise and an individual defendant.  </w:t>
      </w:r>
      <w:r w:rsidRPr="00DE0C4F">
        <w:rPr>
          <w:rFonts w:ascii="Times New Roman" w:eastAsia="Calibri" w:hAnsi="Times New Roman" w:cs="Times New Roman"/>
          <w:i/>
          <w:iCs/>
          <w:kern w:val="0"/>
          <w:sz w:val="24"/>
          <w:szCs w:val="24"/>
          <w14:ligatures w14:val="none"/>
        </w:rPr>
        <w:t>See Rae v. Union Bank</w:t>
      </w:r>
      <w:r w:rsidRPr="00DE0C4F">
        <w:rPr>
          <w:rFonts w:ascii="Times New Roman" w:eastAsia="Calibri" w:hAnsi="Times New Roman" w:cs="Times New Roman"/>
          <w:kern w:val="0"/>
          <w:sz w:val="24"/>
          <w:szCs w:val="24"/>
          <w14:ligatures w14:val="none"/>
        </w:rPr>
        <w:t xml:space="preserve">, 725 F.2d 478, 481 (9th Cir. 1984) (holding that plaintiff could not assert RICO claim against defendant bank because bank was also alleged to be RICO enterprise).  However, “the inability of a corporation to operate except through its officers is not an impediment to section 1962(c) suits.”  </w:t>
      </w:r>
      <w:r w:rsidRPr="00DE0C4F">
        <w:rPr>
          <w:rFonts w:ascii="Times New Roman" w:eastAsia="Calibri" w:hAnsi="Times New Roman" w:cs="Times New Roman"/>
          <w:i/>
          <w:iCs/>
          <w:kern w:val="0"/>
          <w:sz w:val="24"/>
          <w:szCs w:val="24"/>
          <w14:ligatures w14:val="none"/>
        </w:rPr>
        <w:t>Sever v. Alaska Pulp Corp</w:t>
      </w:r>
      <w:r w:rsidRPr="00DE0C4F">
        <w:rPr>
          <w:rFonts w:ascii="Times New Roman" w:eastAsia="Calibri" w:hAnsi="Times New Roman" w:cs="Times New Roman"/>
          <w:kern w:val="0"/>
          <w:sz w:val="24"/>
          <w:szCs w:val="24"/>
          <w14:ligatures w14:val="none"/>
        </w:rPr>
        <w:t xml:space="preserve">., 978 F.2d 1529, 1534 (9th Cir. 1992) (holding that individual officers of corporation could be named as defendants even though corporation was alleged to be enterprise and could not act without its officers); </w:t>
      </w:r>
      <w:r w:rsidRPr="00DE0C4F">
        <w:rPr>
          <w:rFonts w:ascii="Times New Roman" w:eastAsia="Calibri" w:hAnsi="Times New Roman" w:cs="Times New Roman"/>
          <w:i/>
          <w:iCs/>
          <w:kern w:val="0"/>
          <w:sz w:val="24"/>
          <w:szCs w:val="24"/>
          <w14:ligatures w14:val="none"/>
        </w:rPr>
        <w:t>see United States v. Benny</w:t>
      </w:r>
      <w:r w:rsidRPr="00DE0C4F">
        <w:rPr>
          <w:rFonts w:ascii="Times New Roman" w:eastAsia="Calibri" w:hAnsi="Times New Roman" w:cs="Times New Roman"/>
          <w:kern w:val="0"/>
          <w:sz w:val="24"/>
          <w:szCs w:val="24"/>
          <w14:ligatures w14:val="none"/>
        </w:rPr>
        <w:t xml:space="preserve">, 786 F.2d 1410, 1416 (9th Cir. 1986) (stating that corporate form is “sort of legal shield for illegal activity that Congress intended RICO to pierce”).  An organizational defendant can be a member of a larger associated-in-fact enterprise.  </w:t>
      </w:r>
      <w:r w:rsidRPr="00DE0C4F">
        <w:rPr>
          <w:rFonts w:ascii="Times New Roman" w:eastAsia="Calibri" w:hAnsi="Times New Roman" w:cs="Times New Roman"/>
          <w:i/>
          <w:iCs/>
          <w:kern w:val="0"/>
          <w:sz w:val="24"/>
          <w:szCs w:val="24"/>
          <w14:ligatures w14:val="none"/>
        </w:rPr>
        <w:t>See Living Designs</w:t>
      </w:r>
      <w:r w:rsidRPr="00DE0C4F">
        <w:rPr>
          <w:rFonts w:ascii="Times New Roman" w:eastAsia="Calibri" w:hAnsi="Times New Roman" w:cs="Times New Roman"/>
          <w:kern w:val="0"/>
          <w:sz w:val="24"/>
          <w:szCs w:val="24"/>
          <w14:ligatures w14:val="none"/>
        </w:rPr>
        <w:t xml:space="preserve">, 431 F.3d at 361 (finding associated-in-fact enterprise could be formed between defendant corporation, law firms employed by it and expert witnesses retained by law firm).   </w:t>
      </w:r>
    </w:p>
    <w:p w14:paraId="76B559E4"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26466E0D"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An associated-in-fact enterprise is “a group of persons associated together for a common purpose of engaging in a course of conduct.”  </w:t>
      </w:r>
      <w:r w:rsidRPr="00DE0C4F">
        <w:rPr>
          <w:rFonts w:ascii="Times New Roman" w:eastAsia="Calibri" w:hAnsi="Times New Roman" w:cs="Times New Roman"/>
          <w:i/>
          <w:iCs/>
          <w:kern w:val="0"/>
          <w:sz w:val="24"/>
          <w:szCs w:val="24"/>
          <w14:ligatures w14:val="none"/>
        </w:rPr>
        <w:t>Boyle v. United States</w:t>
      </w:r>
      <w:r w:rsidRPr="00DE0C4F">
        <w:rPr>
          <w:rFonts w:ascii="Times New Roman" w:eastAsia="Calibri" w:hAnsi="Times New Roman" w:cs="Times New Roman"/>
          <w:kern w:val="0"/>
          <w:sz w:val="24"/>
          <w:szCs w:val="24"/>
          <w14:ligatures w14:val="none"/>
        </w:rPr>
        <w:t>, 556 U.S. 938, 945-46 (2009) (quoting</w:t>
      </w:r>
      <w:r w:rsidRPr="00DE0C4F">
        <w:rPr>
          <w:rFonts w:ascii="Times New Roman" w:eastAsia="Calibri" w:hAnsi="Times New Roman" w:cs="Times New Roman"/>
          <w:i/>
          <w:iCs/>
          <w:kern w:val="0"/>
          <w:sz w:val="24"/>
          <w:szCs w:val="24"/>
          <w14:ligatures w14:val="none"/>
        </w:rPr>
        <w:t xml:space="preserve"> United States v. </w:t>
      </w:r>
      <w:proofErr w:type="spellStart"/>
      <w:r w:rsidRPr="00DE0C4F">
        <w:rPr>
          <w:rFonts w:ascii="Times New Roman" w:eastAsia="Calibri" w:hAnsi="Times New Roman" w:cs="Times New Roman"/>
          <w:i/>
          <w:iCs/>
          <w:kern w:val="0"/>
          <w:sz w:val="24"/>
          <w:szCs w:val="24"/>
          <w14:ligatures w14:val="none"/>
        </w:rPr>
        <w:t>Turkette</w:t>
      </w:r>
      <w:proofErr w:type="spellEnd"/>
      <w:r w:rsidRPr="00DE0C4F">
        <w:rPr>
          <w:rFonts w:ascii="Times New Roman" w:eastAsia="Calibri" w:hAnsi="Times New Roman" w:cs="Times New Roman"/>
          <w:kern w:val="0"/>
          <w:sz w:val="24"/>
          <w:szCs w:val="24"/>
          <w14:ligatures w14:val="none"/>
        </w:rPr>
        <w:t xml:space="preserve">, 452 U.S. 576, 580 (1981)).  Its existence is proven through evidence of an ongoing organization, formal or informal, and evidence that the various associates function as a continuing unit.  No particular organizational structure, separate or otherwise, is necessary for an associated-in-fact enterprise.  </w:t>
      </w:r>
      <w:r w:rsidRPr="00DE0C4F">
        <w:rPr>
          <w:rFonts w:ascii="Times New Roman" w:eastAsia="Calibri" w:hAnsi="Times New Roman" w:cs="Times New Roman"/>
          <w:i/>
          <w:iCs/>
          <w:kern w:val="0"/>
          <w:sz w:val="24"/>
          <w:szCs w:val="24"/>
          <w14:ligatures w14:val="none"/>
        </w:rPr>
        <w:t>Odom</w:t>
      </w:r>
      <w:r w:rsidRPr="00DE0C4F">
        <w:rPr>
          <w:rFonts w:ascii="Times New Roman" w:eastAsia="Calibri" w:hAnsi="Times New Roman" w:cs="Times New Roman"/>
          <w:kern w:val="0"/>
          <w:sz w:val="24"/>
          <w:szCs w:val="24"/>
          <w14:ligatures w14:val="none"/>
        </w:rPr>
        <w:t xml:space="preserve">, 486 F.3d at 551 (finding that plaintiffs had sufficiently alleged associated-in-fact enterprise between defendant software manufacturer and co-defendant retailer wherein defendants established cross-marketing scheme for transferring plaintiffs’ personal information from retailer to manufacturer in order to allow manufacturer to improperly charge plaintiffs for services); </w:t>
      </w:r>
      <w:r w:rsidRPr="00DE0C4F">
        <w:rPr>
          <w:rFonts w:ascii="Times New Roman" w:eastAsia="Calibri" w:hAnsi="Times New Roman" w:cs="Times New Roman"/>
          <w:i/>
          <w:iCs/>
          <w:kern w:val="0"/>
          <w:sz w:val="24"/>
          <w:szCs w:val="24"/>
          <w14:ligatures w14:val="none"/>
        </w:rPr>
        <w:t>see also Boyle</w:t>
      </w:r>
      <w:r w:rsidRPr="00DE0C4F">
        <w:rPr>
          <w:rFonts w:ascii="Times New Roman" w:eastAsia="Calibri" w:hAnsi="Times New Roman" w:cs="Times New Roman"/>
          <w:kern w:val="0"/>
          <w:sz w:val="24"/>
          <w:szCs w:val="24"/>
          <w14:ligatures w14:val="none"/>
        </w:rPr>
        <w:t xml:space="preserve">, 556 U.S. at 946 (“It is apparent that an association-in-fact enterprise must have at least three structural features: a purpose, relationships among those associated with the enterprise, and longevity sufficient to permit these associates to pursue the enterprise's purpose.”).  Defendants in RICO actions must have had “some knowledge of the nature of the enterprise . . . to avoid an unjust association of the defendant[s] with the crimes of others,” but the requirement of a common purpose may be met so long as the defendants were “each aware of the essential nature and scope of [the] enterprise and intended to participate in it.”  </w:t>
      </w:r>
      <w:r w:rsidRPr="00DE0C4F">
        <w:rPr>
          <w:rFonts w:ascii="Times New Roman" w:eastAsia="Calibri" w:hAnsi="Times New Roman" w:cs="Times New Roman"/>
          <w:i/>
          <w:iCs/>
          <w:kern w:val="0"/>
          <w:sz w:val="24"/>
          <w:szCs w:val="24"/>
          <w14:ligatures w14:val="none"/>
        </w:rPr>
        <w:t>United States v. Christensen</w:t>
      </w:r>
      <w:r w:rsidRPr="00DE0C4F">
        <w:rPr>
          <w:rFonts w:ascii="Times New Roman" w:eastAsia="Calibri" w:hAnsi="Times New Roman" w:cs="Times New Roman"/>
          <w:kern w:val="0"/>
          <w:sz w:val="24"/>
          <w:szCs w:val="24"/>
          <w14:ligatures w14:val="none"/>
        </w:rPr>
        <w:t xml:space="preserve">, 801 F.3d 970, 985 (9th Cir.), opinion amended and superseded on denial of reh’g, 828 F.3d 763 (9th Cir. 2015).  A RICO enterprise is not defeated even when some of the enterprise’s participants lack detailed knowledge of all of the other participants or their activities.  Instead, “it is sufficient that the defendant </w:t>
      </w:r>
      <w:proofErr w:type="gramStart"/>
      <w:r w:rsidRPr="00DE0C4F">
        <w:rPr>
          <w:rFonts w:ascii="Times New Roman" w:eastAsia="Calibri" w:hAnsi="Times New Roman" w:cs="Times New Roman"/>
          <w:kern w:val="0"/>
          <w:sz w:val="24"/>
          <w:szCs w:val="24"/>
          <w14:ligatures w14:val="none"/>
        </w:rPr>
        <w:t>know</w:t>
      </w:r>
      <w:proofErr w:type="gramEnd"/>
      <w:r w:rsidRPr="00DE0C4F">
        <w:rPr>
          <w:rFonts w:ascii="Times New Roman" w:eastAsia="Calibri" w:hAnsi="Times New Roman" w:cs="Times New Roman"/>
          <w:kern w:val="0"/>
          <w:sz w:val="24"/>
          <w:szCs w:val="24"/>
          <w14:ligatures w14:val="none"/>
        </w:rPr>
        <w:t xml:space="preserve"> the general nature of the enterprise and know that the enterprise extends beyond his individual role.”  </w:t>
      </w:r>
      <w:r w:rsidRPr="00DE0C4F">
        <w:rPr>
          <w:rFonts w:ascii="Times New Roman" w:eastAsia="Calibri" w:hAnsi="Times New Roman" w:cs="Times New Roman"/>
          <w:i/>
          <w:iCs/>
          <w:kern w:val="0"/>
          <w:sz w:val="24"/>
          <w:szCs w:val="24"/>
          <w14:ligatures w14:val="none"/>
        </w:rPr>
        <w:t>Id</w:t>
      </w:r>
      <w:r w:rsidRPr="00DE0C4F">
        <w:rPr>
          <w:rFonts w:ascii="Times New Roman" w:eastAsia="Calibri" w:hAnsi="Times New Roman" w:cs="Times New Roman"/>
          <w:kern w:val="0"/>
          <w:sz w:val="24"/>
          <w:szCs w:val="24"/>
          <w14:ligatures w14:val="none"/>
        </w:rPr>
        <w:t xml:space="preserve">. (quoting </w:t>
      </w:r>
      <w:r w:rsidRPr="00DE0C4F">
        <w:rPr>
          <w:rFonts w:ascii="Times New Roman" w:eastAsia="Calibri" w:hAnsi="Times New Roman" w:cs="Times New Roman"/>
          <w:i/>
          <w:iCs/>
          <w:kern w:val="0"/>
          <w:sz w:val="24"/>
          <w:szCs w:val="24"/>
          <w14:ligatures w14:val="none"/>
        </w:rPr>
        <w:t>United States v. Eufrasio</w:t>
      </w:r>
      <w:r w:rsidRPr="00DE0C4F">
        <w:rPr>
          <w:rFonts w:ascii="Times New Roman" w:eastAsia="Calibri" w:hAnsi="Times New Roman" w:cs="Times New Roman"/>
          <w:kern w:val="0"/>
          <w:sz w:val="24"/>
          <w:szCs w:val="24"/>
          <w14:ligatures w14:val="none"/>
        </w:rPr>
        <w:t xml:space="preserve">, 935 F.2d 553, 557 n. 29 (3rd Cir. 1991).  In particular cases, “the evidence used to prove the pattern of racketeering activity and the evidence establishing an enterprise” may overlap.  </w:t>
      </w:r>
      <w:r w:rsidRPr="00DE0C4F">
        <w:rPr>
          <w:rFonts w:ascii="Times New Roman" w:eastAsia="Calibri" w:hAnsi="Times New Roman" w:cs="Times New Roman"/>
          <w:i/>
          <w:iCs/>
          <w:kern w:val="0"/>
          <w:sz w:val="24"/>
          <w:szCs w:val="24"/>
          <w14:ligatures w14:val="none"/>
        </w:rPr>
        <w:t>Boyle</w:t>
      </w:r>
      <w:r w:rsidRPr="00DE0C4F">
        <w:rPr>
          <w:rFonts w:ascii="Times New Roman" w:eastAsia="Calibri" w:hAnsi="Times New Roman" w:cs="Times New Roman"/>
          <w:kern w:val="0"/>
          <w:sz w:val="24"/>
          <w:szCs w:val="24"/>
          <w14:ligatures w14:val="none"/>
        </w:rPr>
        <w:t xml:space="preserve">, 556 U.S. at 947.  However, “enterprise” and “conduct” are two separate and necessary elements of a civil RICO claim.  </w:t>
      </w:r>
      <w:r w:rsidRPr="00DE0C4F">
        <w:rPr>
          <w:rFonts w:ascii="Times New Roman" w:eastAsia="Calibri" w:hAnsi="Times New Roman" w:cs="Times New Roman"/>
          <w:i/>
          <w:iCs/>
          <w:kern w:val="0"/>
          <w:sz w:val="24"/>
          <w:szCs w:val="24"/>
          <w14:ligatures w14:val="none"/>
        </w:rPr>
        <w:lastRenderedPageBreak/>
        <w:t>Odom</w:t>
      </w:r>
      <w:r w:rsidRPr="00DE0C4F">
        <w:rPr>
          <w:rFonts w:ascii="Times New Roman" w:eastAsia="Calibri" w:hAnsi="Times New Roman" w:cs="Times New Roman"/>
          <w:kern w:val="0"/>
          <w:sz w:val="24"/>
          <w:szCs w:val="24"/>
          <w14:ligatures w14:val="none"/>
        </w:rPr>
        <w:t>, 486 F.3d at 549 (“The ‘enterprise’ is the actor, and the ‘pattern of racketeering activity’ is an activity in which that actor engages.”).</w:t>
      </w:r>
    </w:p>
    <w:p w14:paraId="76F8A3B0"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3BAC9544"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r>
      <w:r w:rsidRPr="00DE0C4F">
        <w:rPr>
          <w:rFonts w:ascii="Times New Roman" w:eastAsia="Calibri" w:hAnsi="Times New Roman" w:cs="Times New Roman"/>
          <w:b/>
          <w:bCs/>
          <w:kern w:val="0"/>
          <w:sz w:val="24"/>
          <w:szCs w:val="24"/>
          <w14:ligatures w14:val="none"/>
        </w:rPr>
        <w:t xml:space="preserve">Pattern: </w:t>
      </w:r>
      <w:r w:rsidRPr="00DE0C4F">
        <w:rPr>
          <w:rFonts w:ascii="Times New Roman" w:eastAsia="Calibri" w:hAnsi="Times New Roman" w:cs="Times New Roman"/>
          <w:kern w:val="0"/>
          <w:sz w:val="24"/>
          <w:szCs w:val="24"/>
          <w14:ligatures w14:val="none"/>
        </w:rPr>
        <w:t xml:space="preserve"> A pattern is defined as “at least two acts of racketeering activity" within ten years of each other.  18 U.S.C. § 1961(5).  Proving two predicate acts is a necessary condition </w:t>
      </w:r>
    </w:p>
    <w:p w14:paraId="66E73522"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 xml:space="preserve">for finding a violation but may not be sufficient.  </w:t>
      </w:r>
      <w:r w:rsidRPr="00DE0C4F">
        <w:rPr>
          <w:rFonts w:ascii="Times New Roman" w:eastAsia="Calibri" w:hAnsi="Times New Roman" w:cs="Times New Roman"/>
          <w:i/>
          <w:iCs/>
          <w:kern w:val="0"/>
          <w:sz w:val="24"/>
          <w:szCs w:val="24"/>
          <w14:ligatures w14:val="none"/>
        </w:rPr>
        <w:t>See H.J., Inc. v. Nw. Bell Tel. Co.</w:t>
      </w:r>
      <w:r w:rsidRPr="00DE0C4F">
        <w:rPr>
          <w:rFonts w:ascii="Times New Roman" w:eastAsia="Calibri" w:hAnsi="Times New Roman" w:cs="Times New Roman"/>
          <w:kern w:val="0"/>
          <w:sz w:val="24"/>
          <w:szCs w:val="24"/>
          <w14:ligatures w14:val="none"/>
        </w:rPr>
        <w:t xml:space="preserve">, 492 U.S. 229, 238 (1989).  To establish a “pattern of racketeering activity,” the predicate acts must be both “related” and “continuous.”   </w:t>
      </w:r>
      <w:r w:rsidRPr="00DE0C4F">
        <w:rPr>
          <w:rFonts w:ascii="Times New Roman" w:eastAsia="Calibri" w:hAnsi="Times New Roman" w:cs="Times New Roman"/>
          <w:i/>
          <w:iCs/>
          <w:kern w:val="0"/>
          <w:sz w:val="24"/>
          <w:szCs w:val="24"/>
          <w14:ligatures w14:val="none"/>
        </w:rPr>
        <w:t>Id</w:t>
      </w:r>
      <w:r w:rsidRPr="00DE0C4F">
        <w:rPr>
          <w:rFonts w:ascii="Times New Roman" w:eastAsia="Calibri" w:hAnsi="Times New Roman" w:cs="Times New Roman"/>
          <w:kern w:val="0"/>
          <w:sz w:val="24"/>
          <w:szCs w:val="24"/>
          <w14:ligatures w14:val="none"/>
        </w:rPr>
        <w:t xml:space="preserve">.; </w:t>
      </w:r>
      <w:r w:rsidRPr="00DE0C4F">
        <w:rPr>
          <w:rFonts w:ascii="Times New Roman" w:eastAsia="Calibri" w:hAnsi="Times New Roman" w:cs="Times New Roman"/>
          <w:i/>
          <w:iCs/>
          <w:kern w:val="0"/>
          <w:sz w:val="24"/>
          <w:szCs w:val="24"/>
          <w14:ligatures w14:val="none"/>
        </w:rPr>
        <w:t>Sever</w:t>
      </w:r>
      <w:r w:rsidRPr="00DE0C4F">
        <w:rPr>
          <w:rFonts w:ascii="Times New Roman" w:eastAsia="Calibri" w:hAnsi="Times New Roman" w:cs="Times New Roman"/>
          <w:kern w:val="0"/>
          <w:sz w:val="24"/>
          <w:szCs w:val="24"/>
          <w14:ligatures w14:val="none"/>
        </w:rPr>
        <w:t>, 978 F.2d at 1529.</w:t>
      </w:r>
    </w:p>
    <w:p w14:paraId="4EEE349D"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23654E04"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Related conduct “embraces criminal acts that have the same or similar purposes, results, participants, victims, or methods of commission, or otherwise are interrelated by distinguishing characteristics and are not isolated events.”  </w:t>
      </w:r>
      <w:r w:rsidRPr="00DE0C4F">
        <w:rPr>
          <w:rFonts w:ascii="Times New Roman" w:eastAsia="Calibri" w:hAnsi="Times New Roman" w:cs="Times New Roman"/>
          <w:i/>
          <w:iCs/>
          <w:kern w:val="0"/>
          <w:sz w:val="24"/>
          <w:szCs w:val="24"/>
          <w14:ligatures w14:val="none"/>
        </w:rPr>
        <w:t>H.J., Inc</w:t>
      </w:r>
      <w:r w:rsidRPr="00DE0C4F">
        <w:rPr>
          <w:rFonts w:ascii="Times New Roman" w:eastAsia="Calibri" w:hAnsi="Times New Roman" w:cs="Times New Roman"/>
          <w:kern w:val="0"/>
          <w:sz w:val="24"/>
          <w:szCs w:val="24"/>
          <w14:ligatures w14:val="none"/>
        </w:rPr>
        <w:t xml:space="preserve">., 492 U.S. at 240.  Relatedness of the alleged or proven predicate acts is rarely an issue.  </w:t>
      </w:r>
      <w:r w:rsidRPr="00DE0C4F">
        <w:rPr>
          <w:rFonts w:ascii="Times New Roman" w:eastAsia="Calibri" w:hAnsi="Times New Roman" w:cs="Times New Roman"/>
          <w:i/>
          <w:iCs/>
          <w:kern w:val="0"/>
          <w:sz w:val="24"/>
          <w:szCs w:val="24"/>
          <w14:ligatures w14:val="none"/>
        </w:rPr>
        <w:t xml:space="preserve">See Medallion Television Enters., Inc. v. </w:t>
      </w:r>
      <w:proofErr w:type="spellStart"/>
      <w:r w:rsidRPr="00DE0C4F">
        <w:rPr>
          <w:rFonts w:ascii="Times New Roman" w:eastAsia="Calibri" w:hAnsi="Times New Roman" w:cs="Times New Roman"/>
          <w:i/>
          <w:iCs/>
          <w:kern w:val="0"/>
          <w:sz w:val="24"/>
          <w:szCs w:val="24"/>
          <w14:ligatures w14:val="none"/>
        </w:rPr>
        <w:t>SelecTV</w:t>
      </w:r>
      <w:proofErr w:type="spellEnd"/>
      <w:r w:rsidRPr="00DE0C4F">
        <w:rPr>
          <w:rFonts w:ascii="Times New Roman" w:eastAsia="Calibri" w:hAnsi="Times New Roman" w:cs="Times New Roman"/>
          <w:i/>
          <w:iCs/>
          <w:kern w:val="0"/>
          <w:sz w:val="24"/>
          <w:szCs w:val="24"/>
          <w14:ligatures w14:val="none"/>
        </w:rPr>
        <w:t xml:space="preserve"> of Cal., Inc.</w:t>
      </w:r>
      <w:r w:rsidRPr="00DE0C4F">
        <w:rPr>
          <w:rFonts w:ascii="Times New Roman" w:eastAsia="Calibri" w:hAnsi="Times New Roman" w:cs="Times New Roman"/>
          <w:kern w:val="0"/>
          <w:sz w:val="24"/>
          <w:szCs w:val="24"/>
          <w14:ligatures w14:val="none"/>
        </w:rPr>
        <w:t xml:space="preserve">, 833 F.2d 1360, 1363 (9th Cir. 1987) (finding alleged predicate acts to be related when all were directed toward inducing plaintiff to enter into joint venture and provide funds to obtain certain rights).  However, merely alleging that the predicate acts share the same participants is insufficient to establish that they are related.  </w:t>
      </w:r>
      <w:r w:rsidRPr="00DE0C4F">
        <w:rPr>
          <w:rFonts w:ascii="Times New Roman" w:eastAsia="Calibri" w:hAnsi="Times New Roman" w:cs="Times New Roman"/>
          <w:i/>
          <w:iCs/>
          <w:kern w:val="0"/>
          <w:sz w:val="24"/>
          <w:szCs w:val="24"/>
          <w14:ligatures w14:val="none"/>
        </w:rPr>
        <w:t>See Howard v. Am. Online Inc</w:t>
      </w:r>
      <w:r w:rsidRPr="00DE0C4F">
        <w:rPr>
          <w:rFonts w:ascii="Times New Roman" w:eastAsia="Calibri" w:hAnsi="Times New Roman" w:cs="Times New Roman"/>
          <w:kern w:val="0"/>
          <w:sz w:val="24"/>
          <w:szCs w:val="24"/>
          <w14:ligatures w14:val="none"/>
        </w:rPr>
        <w:t>., 208 F.3d 741, 749 (9th Cir. 2000) (finding that when the purpose, result, victim and method of one set of predicate acts were “strikingly different” from those of the other set of alleged predicate acts, fact that both sets implicated same participants was not enough to establish relatedness).</w:t>
      </w:r>
    </w:p>
    <w:p w14:paraId="006EC746"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 xml:space="preserve">The continuity requirement reflects Congress’s concern in RICO with long-term criminal conduct.  </w:t>
      </w:r>
      <w:r w:rsidRPr="00DE0C4F">
        <w:rPr>
          <w:rFonts w:ascii="Times New Roman" w:eastAsia="Calibri" w:hAnsi="Times New Roman" w:cs="Times New Roman"/>
          <w:i/>
          <w:iCs/>
          <w:kern w:val="0"/>
          <w:sz w:val="24"/>
          <w:szCs w:val="24"/>
          <w14:ligatures w14:val="none"/>
        </w:rPr>
        <w:t>See H.J., Inc</w:t>
      </w:r>
      <w:r w:rsidRPr="00DE0C4F">
        <w:rPr>
          <w:rFonts w:ascii="Times New Roman" w:eastAsia="Calibri" w:hAnsi="Times New Roman" w:cs="Times New Roman"/>
          <w:kern w:val="0"/>
          <w:sz w:val="24"/>
          <w:szCs w:val="24"/>
          <w14:ligatures w14:val="none"/>
        </w:rPr>
        <w:t xml:space="preserve">., 492 U.S. at 242.  Plaintiffs must prove either “open-ended” or “closed-ended” continuity—that is, a plaintiff must either prove a series of related predicate acts committed over a substantial period of time (known as closed-ended continuity) or show past conduct that by its nature projects into the future with a threat of repetition (known as open-ended continuity).  </w:t>
      </w:r>
      <w:r w:rsidRPr="00DE0C4F">
        <w:rPr>
          <w:rFonts w:ascii="Times New Roman" w:eastAsia="Calibri" w:hAnsi="Times New Roman" w:cs="Times New Roman"/>
          <w:i/>
          <w:iCs/>
          <w:kern w:val="0"/>
          <w:sz w:val="24"/>
          <w:szCs w:val="24"/>
          <w14:ligatures w14:val="none"/>
        </w:rPr>
        <w:t xml:space="preserve">See id. </w:t>
      </w:r>
      <w:r w:rsidRPr="00DE0C4F">
        <w:rPr>
          <w:rFonts w:ascii="Times New Roman" w:eastAsia="Calibri" w:hAnsi="Times New Roman" w:cs="Times New Roman"/>
          <w:kern w:val="0"/>
          <w:sz w:val="24"/>
          <w:szCs w:val="24"/>
          <w14:ligatures w14:val="none"/>
        </w:rPr>
        <w:t xml:space="preserve">at 241-42; </w:t>
      </w:r>
      <w:r w:rsidRPr="00DE0C4F">
        <w:rPr>
          <w:rFonts w:ascii="Times New Roman" w:eastAsia="Calibri" w:hAnsi="Times New Roman" w:cs="Times New Roman"/>
          <w:i/>
          <w:iCs/>
          <w:kern w:val="0"/>
          <w:sz w:val="24"/>
          <w:szCs w:val="24"/>
          <w14:ligatures w14:val="none"/>
        </w:rPr>
        <w:t>Howard</w:t>
      </w:r>
      <w:r w:rsidRPr="00DE0C4F">
        <w:rPr>
          <w:rFonts w:ascii="Times New Roman" w:eastAsia="Calibri" w:hAnsi="Times New Roman" w:cs="Times New Roman"/>
          <w:kern w:val="0"/>
          <w:sz w:val="24"/>
          <w:szCs w:val="24"/>
          <w14:ligatures w14:val="none"/>
        </w:rPr>
        <w:t xml:space="preserve">, 208 F.3d at 750.  There is no bright line rule for what period of time the pattern of activity must extend to establish closed-ended continuity, though activity spanning only several months is unlikely to satisfy the requirement.  </w:t>
      </w:r>
      <w:proofErr w:type="spellStart"/>
      <w:r w:rsidRPr="00DE0C4F">
        <w:rPr>
          <w:rFonts w:ascii="Times New Roman" w:eastAsia="Calibri" w:hAnsi="Times New Roman" w:cs="Times New Roman"/>
          <w:i/>
          <w:iCs/>
          <w:kern w:val="0"/>
          <w:sz w:val="24"/>
          <w:szCs w:val="24"/>
          <w14:ligatures w14:val="none"/>
        </w:rPr>
        <w:t>Allwaste</w:t>
      </w:r>
      <w:proofErr w:type="spellEnd"/>
      <w:r w:rsidRPr="00DE0C4F">
        <w:rPr>
          <w:rFonts w:ascii="Times New Roman" w:eastAsia="Calibri" w:hAnsi="Times New Roman" w:cs="Times New Roman"/>
          <w:i/>
          <w:iCs/>
          <w:kern w:val="0"/>
          <w:sz w:val="24"/>
          <w:szCs w:val="24"/>
          <w14:ligatures w14:val="none"/>
        </w:rPr>
        <w:t>, Inc. v. Hecht</w:t>
      </w:r>
      <w:r w:rsidRPr="00DE0C4F">
        <w:rPr>
          <w:rFonts w:ascii="Times New Roman" w:eastAsia="Calibri" w:hAnsi="Times New Roman" w:cs="Times New Roman"/>
          <w:kern w:val="0"/>
          <w:sz w:val="24"/>
          <w:szCs w:val="24"/>
          <w14:ligatures w14:val="none"/>
        </w:rPr>
        <w:t xml:space="preserve">, 65 F.3d 1523, 1528 (9th Cir. 1995) (noting that it would be “misguided” to state as  “hard and fast rule” that to establish closed-ended continuity, pattern of activity must extend more than year, but also stating that activity spanning only several months without threatening any future criminal conduct does not meet continuity requirement); </w:t>
      </w:r>
      <w:r w:rsidRPr="00DE0C4F">
        <w:rPr>
          <w:rFonts w:ascii="Times New Roman" w:eastAsia="Calibri" w:hAnsi="Times New Roman" w:cs="Times New Roman"/>
          <w:i/>
          <w:iCs/>
          <w:kern w:val="0"/>
          <w:sz w:val="24"/>
          <w:szCs w:val="24"/>
          <w14:ligatures w14:val="none"/>
        </w:rPr>
        <w:t>Religious Tech. Ctr. v. Wollersheim</w:t>
      </w:r>
      <w:r w:rsidRPr="00DE0C4F">
        <w:rPr>
          <w:rFonts w:ascii="Times New Roman" w:eastAsia="Calibri" w:hAnsi="Times New Roman" w:cs="Times New Roman"/>
          <w:kern w:val="0"/>
          <w:sz w:val="24"/>
          <w:szCs w:val="24"/>
          <w14:ligatures w14:val="none"/>
        </w:rPr>
        <w:t xml:space="preserve">, 971 F.2d 364, 366-67 (9th Cir. 1992) (“[T]he alleged activity continued for six months at most . . . . We have found no case in which a court has held the [closed-ended continuity] requirement to be satisfied by a pattern of activity lasting less than a year.”).  Open-ended continuity is shown through “predicate acts that specifically threaten repetition or that become a regular way of doing business.”  </w:t>
      </w:r>
      <w:proofErr w:type="spellStart"/>
      <w:r w:rsidRPr="00DE0C4F">
        <w:rPr>
          <w:rFonts w:ascii="Times New Roman" w:eastAsia="Calibri" w:hAnsi="Times New Roman" w:cs="Times New Roman"/>
          <w:i/>
          <w:iCs/>
          <w:kern w:val="0"/>
          <w:sz w:val="24"/>
          <w:szCs w:val="24"/>
          <w14:ligatures w14:val="none"/>
        </w:rPr>
        <w:t>Allwaste</w:t>
      </w:r>
      <w:proofErr w:type="spellEnd"/>
      <w:r w:rsidRPr="00DE0C4F">
        <w:rPr>
          <w:rFonts w:ascii="Times New Roman" w:eastAsia="Calibri" w:hAnsi="Times New Roman" w:cs="Times New Roman"/>
          <w:kern w:val="0"/>
          <w:sz w:val="24"/>
          <w:szCs w:val="24"/>
          <w14:ligatures w14:val="none"/>
        </w:rPr>
        <w:t xml:space="preserve">, 65 F.3d at 1528; </w:t>
      </w:r>
      <w:r w:rsidRPr="00DE0C4F">
        <w:rPr>
          <w:rFonts w:ascii="Times New Roman" w:eastAsia="Calibri" w:hAnsi="Times New Roman" w:cs="Times New Roman"/>
          <w:i/>
          <w:iCs/>
          <w:kern w:val="0"/>
          <w:sz w:val="24"/>
          <w:szCs w:val="24"/>
          <w14:ligatures w14:val="none"/>
        </w:rPr>
        <w:t>see, e.g.</w:t>
      </w:r>
      <w:r w:rsidRPr="00DE0C4F">
        <w:rPr>
          <w:rFonts w:ascii="Times New Roman" w:eastAsia="Calibri" w:hAnsi="Times New Roman" w:cs="Times New Roman"/>
          <w:kern w:val="0"/>
          <w:sz w:val="24"/>
          <w:szCs w:val="24"/>
          <w14:ligatures w14:val="none"/>
        </w:rPr>
        <w:t xml:space="preserve">, </w:t>
      </w:r>
      <w:r w:rsidRPr="00DE0C4F">
        <w:rPr>
          <w:rFonts w:ascii="Times New Roman" w:eastAsia="Calibri" w:hAnsi="Times New Roman" w:cs="Times New Roman"/>
          <w:i/>
          <w:iCs/>
          <w:kern w:val="0"/>
          <w:sz w:val="24"/>
          <w:szCs w:val="24"/>
          <w14:ligatures w14:val="none"/>
        </w:rPr>
        <w:t>Ikuno v. Yip</w:t>
      </w:r>
      <w:r w:rsidRPr="00DE0C4F">
        <w:rPr>
          <w:rFonts w:ascii="Times New Roman" w:eastAsia="Calibri" w:hAnsi="Times New Roman" w:cs="Times New Roman"/>
          <w:kern w:val="0"/>
          <w:sz w:val="24"/>
          <w:szCs w:val="24"/>
          <w14:ligatures w14:val="none"/>
        </w:rPr>
        <w:t xml:space="preserve">, 912 F.2d 306, 308 (9th Cir. 1990) (finding open-ended continuity based on two filings of false annual trading reports for phantom commodity trading company and no evidence that defendant would have stopped filing false annual reports if company had continued to do business); </w:t>
      </w:r>
      <w:r w:rsidRPr="00DE0C4F">
        <w:rPr>
          <w:rFonts w:ascii="Times New Roman" w:eastAsia="Calibri" w:hAnsi="Times New Roman" w:cs="Times New Roman"/>
          <w:i/>
          <w:iCs/>
          <w:kern w:val="0"/>
          <w:sz w:val="24"/>
          <w:szCs w:val="24"/>
          <w14:ligatures w14:val="none"/>
        </w:rPr>
        <w:t>Medallion</w:t>
      </w:r>
      <w:r w:rsidRPr="00DE0C4F">
        <w:rPr>
          <w:rFonts w:ascii="Times New Roman" w:eastAsia="Calibri" w:hAnsi="Times New Roman" w:cs="Times New Roman"/>
          <w:kern w:val="0"/>
          <w:sz w:val="24"/>
          <w:szCs w:val="24"/>
          <w14:ligatures w14:val="none"/>
        </w:rPr>
        <w:t>, 833 F.2d at 1364 (finding continuity requirement not satisfied because fraud engaged in posed no threat of future activity).</w:t>
      </w:r>
    </w:p>
    <w:p w14:paraId="34DF7769"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7BF4CCB6"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r>
      <w:r w:rsidRPr="00DE0C4F">
        <w:rPr>
          <w:rFonts w:ascii="Times New Roman" w:eastAsia="Calibri" w:hAnsi="Times New Roman" w:cs="Times New Roman"/>
          <w:b/>
          <w:bCs/>
          <w:kern w:val="0"/>
          <w:sz w:val="24"/>
          <w:szCs w:val="24"/>
          <w14:ligatures w14:val="none"/>
        </w:rPr>
        <w:t xml:space="preserve">Racketeering Activity: </w:t>
      </w:r>
      <w:r w:rsidRPr="00DE0C4F">
        <w:rPr>
          <w:rFonts w:ascii="Times New Roman" w:eastAsia="Calibri" w:hAnsi="Times New Roman" w:cs="Times New Roman"/>
          <w:kern w:val="0"/>
          <w:sz w:val="24"/>
          <w:szCs w:val="24"/>
          <w14:ligatures w14:val="none"/>
        </w:rPr>
        <w:t xml:space="preserve"> To constitute racketeering activity, the relevant conduct must consist of at least one of the indictable predicate acts listed in 18 U.S.C. § 1961.</w:t>
      </w:r>
      <w:r w:rsidRPr="00DE0C4F">
        <w:rPr>
          <w:rFonts w:ascii="Times New Roman" w:eastAsia="Calibri" w:hAnsi="Times New Roman" w:cs="Times New Roman"/>
          <w:i/>
          <w:iCs/>
          <w:kern w:val="0"/>
          <w:sz w:val="24"/>
          <w:szCs w:val="24"/>
          <w14:ligatures w14:val="none"/>
        </w:rPr>
        <w:t xml:space="preserve">  </w:t>
      </w:r>
      <w:proofErr w:type="spellStart"/>
      <w:r w:rsidRPr="00DE0C4F">
        <w:rPr>
          <w:rFonts w:ascii="Times New Roman" w:eastAsia="Calibri" w:hAnsi="Times New Roman" w:cs="Times New Roman"/>
          <w:i/>
          <w:iCs/>
          <w:kern w:val="0"/>
          <w:sz w:val="24"/>
          <w:szCs w:val="24"/>
          <w14:ligatures w14:val="none"/>
        </w:rPr>
        <w:t>Sedima</w:t>
      </w:r>
      <w:proofErr w:type="spellEnd"/>
      <w:r w:rsidRPr="00DE0C4F">
        <w:rPr>
          <w:rFonts w:ascii="Times New Roman" w:eastAsia="Calibri" w:hAnsi="Times New Roman" w:cs="Times New Roman"/>
          <w:i/>
          <w:iCs/>
          <w:kern w:val="0"/>
          <w:sz w:val="24"/>
          <w:szCs w:val="24"/>
          <w14:ligatures w14:val="none"/>
        </w:rPr>
        <w:t xml:space="preserve">, S.P.R.L. v. </w:t>
      </w:r>
      <w:proofErr w:type="spellStart"/>
      <w:r w:rsidRPr="00DE0C4F">
        <w:rPr>
          <w:rFonts w:ascii="Times New Roman" w:eastAsia="Calibri" w:hAnsi="Times New Roman" w:cs="Times New Roman"/>
          <w:i/>
          <w:iCs/>
          <w:kern w:val="0"/>
          <w:sz w:val="24"/>
          <w:szCs w:val="24"/>
          <w14:ligatures w14:val="none"/>
        </w:rPr>
        <w:t>Imrex</w:t>
      </w:r>
      <w:proofErr w:type="spellEnd"/>
      <w:r w:rsidRPr="00DE0C4F">
        <w:rPr>
          <w:rFonts w:ascii="Times New Roman" w:eastAsia="Calibri" w:hAnsi="Times New Roman" w:cs="Times New Roman"/>
          <w:i/>
          <w:iCs/>
          <w:kern w:val="0"/>
          <w:sz w:val="24"/>
          <w:szCs w:val="24"/>
          <w14:ligatures w14:val="none"/>
        </w:rPr>
        <w:t xml:space="preserve"> Co., Inc</w:t>
      </w:r>
      <w:r w:rsidRPr="00DE0C4F">
        <w:rPr>
          <w:rFonts w:ascii="Times New Roman" w:eastAsia="Calibri" w:hAnsi="Times New Roman" w:cs="Times New Roman"/>
          <w:kern w:val="0"/>
          <w:sz w:val="24"/>
          <w:szCs w:val="24"/>
          <w14:ligatures w14:val="none"/>
        </w:rPr>
        <w:t xml:space="preserve">., 473 U.S. 479, 495 (1985) (noting that “racketeering activity’ consists </w:t>
      </w:r>
      <w:r w:rsidRPr="00DE0C4F">
        <w:rPr>
          <w:rFonts w:ascii="Times New Roman" w:eastAsia="Calibri" w:hAnsi="Times New Roman" w:cs="Times New Roman"/>
          <w:kern w:val="0"/>
          <w:sz w:val="24"/>
          <w:szCs w:val="24"/>
          <w14:ligatures w14:val="none"/>
        </w:rPr>
        <w:lastRenderedPageBreak/>
        <w:t xml:space="preserve">of no more and no less than commission of a predicate act”).  Predicate acts must be proved by a preponderance of the evidence.  </w:t>
      </w:r>
      <w:r w:rsidRPr="00DE0C4F">
        <w:rPr>
          <w:rFonts w:ascii="Times New Roman" w:eastAsia="Calibri" w:hAnsi="Times New Roman" w:cs="Times New Roman"/>
          <w:i/>
          <w:iCs/>
          <w:kern w:val="0"/>
          <w:sz w:val="24"/>
          <w:szCs w:val="24"/>
          <w14:ligatures w14:val="none"/>
        </w:rPr>
        <w:t>See Wilcox v. First Interstate Bank</w:t>
      </w:r>
      <w:r w:rsidRPr="00DE0C4F">
        <w:rPr>
          <w:rFonts w:ascii="Times New Roman" w:eastAsia="Calibri" w:hAnsi="Times New Roman" w:cs="Times New Roman"/>
          <w:kern w:val="0"/>
          <w:sz w:val="24"/>
          <w:szCs w:val="24"/>
          <w14:ligatures w14:val="none"/>
        </w:rPr>
        <w:t>, 815 F.2d 522, 531-32 (9th Cir. 1987).</w:t>
      </w:r>
    </w:p>
    <w:p w14:paraId="795E5817"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3366573A" w14:textId="77777777" w:rsidR="00B36C48" w:rsidRPr="00DE0C4F" w:rsidRDefault="00B36C48" w:rsidP="00B36C48">
      <w:pPr>
        <w:autoSpaceDE w:val="0"/>
        <w:autoSpaceDN w:val="0"/>
        <w:adjustRightInd w:val="0"/>
        <w:spacing w:after="0"/>
        <w:jc w:val="center"/>
        <w:rPr>
          <w:rFonts w:ascii="Times New Roman" w:eastAsia="Calibri" w:hAnsi="Times New Roman" w:cs="Times New Roman"/>
          <w:kern w:val="0"/>
          <w:sz w:val="24"/>
          <w:szCs w:val="24"/>
          <w14:ligatures w14:val="none"/>
        </w:rPr>
      </w:pPr>
      <w:r w:rsidRPr="00DE0C4F">
        <w:rPr>
          <w:rFonts w:ascii="Times New Roman" w:eastAsia="Calibri" w:hAnsi="Times New Roman" w:cs="Times New Roman"/>
          <w:b/>
          <w:bCs/>
          <w:kern w:val="0"/>
          <w:sz w:val="24"/>
          <w:szCs w:val="24"/>
          <w14:ligatures w14:val="none"/>
        </w:rPr>
        <w:t>18 U.S.C. § 1962(d)</w:t>
      </w:r>
    </w:p>
    <w:p w14:paraId="782D230F"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76A6F23A"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A RICO conspiracy under § 1962(d) may be established by proof of an agreement to commit a substantive violation of RICO.  </w:t>
      </w:r>
      <w:r w:rsidRPr="00DE0C4F">
        <w:rPr>
          <w:rFonts w:ascii="Times New Roman" w:eastAsia="Calibri" w:hAnsi="Times New Roman" w:cs="Times New Roman"/>
          <w:i/>
          <w:iCs/>
          <w:kern w:val="0"/>
          <w:sz w:val="24"/>
          <w:szCs w:val="24"/>
          <w14:ligatures w14:val="none"/>
        </w:rPr>
        <w:t xml:space="preserve">Oki Semiconductor Co. v. Wells Fargo Bank, Nat. </w:t>
      </w:r>
      <w:proofErr w:type="spellStart"/>
      <w:r w:rsidRPr="00DE0C4F">
        <w:rPr>
          <w:rFonts w:ascii="Times New Roman" w:eastAsia="Calibri" w:hAnsi="Times New Roman" w:cs="Times New Roman"/>
          <w:i/>
          <w:iCs/>
          <w:kern w:val="0"/>
          <w:sz w:val="24"/>
          <w:szCs w:val="24"/>
          <w14:ligatures w14:val="none"/>
        </w:rPr>
        <w:t>Ass’n</w:t>
      </w:r>
      <w:proofErr w:type="spellEnd"/>
      <w:r w:rsidRPr="00DE0C4F">
        <w:rPr>
          <w:rFonts w:ascii="Times New Roman" w:eastAsia="Calibri" w:hAnsi="Times New Roman" w:cs="Times New Roman"/>
          <w:kern w:val="0"/>
          <w:sz w:val="24"/>
          <w:szCs w:val="24"/>
          <w14:ligatures w14:val="none"/>
        </w:rPr>
        <w:t xml:space="preserve">, 298 F.3d 768, 774-75 (9th Cir. 2002) (“It is the mere agreement to violate RICO that § 1962(d) forbids; it is not necessary to prove any substantive RICO violations ever occurred as a result of the conspiracy.”) (citation omitted).  The conspirator need not have agreed to commit or facilitate each and every part of the substantive offense.  </w:t>
      </w:r>
      <w:r w:rsidRPr="00DE0C4F">
        <w:rPr>
          <w:rFonts w:ascii="Times New Roman" w:eastAsia="Calibri" w:hAnsi="Times New Roman" w:cs="Times New Roman"/>
          <w:i/>
          <w:iCs/>
          <w:kern w:val="0"/>
          <w:sz w:val="24"/>
          <w:szCs w:val="24"/>
          <w14:ligatures w14:val="none"/>
        </w:rPr>
        <w:t>Howard</w:t>
      </w:r>
      <w:r w:rsidRPr="00DE0C4F">
        <w:rPr>
          <w:rFonts w:ascii="Times New Roman" w:eastAsia="Calibri" w:hAnsi="Times New Roman" w:cs="Times New Roman"/>
          <w:kern w:val="0"/>
          <w:sz w:val="24"/>
          <w:szCs w:val="24"/>
          <w14:ligatures w14:val="none"/>
        </w:rPr>
        <w:t xml:space="preserve">, 208 F.3d 741, 751 (9th Cir. 2000) (citing </w:t>
      </w:r>
      <w:r w:rsidRPr="00DE0C4F">
        <w:rPr>
          <w:rFonts w:ascii="Times New Roman" w:eastAsia="Calibri" w:hAnsi="Times New Roman" w:cs="Times New Roman"/>
          <w:i/>
          <w:iCs/>
          <w:kern w:val="0"/>
          <w:sz w:val="24"/>
          <w:szCs w:val="24"/>
          <w14:ligatures w14:val="none"/>
        </w:rPr>
        <w:t>Salinas v. United States</w:t>
      </w:r>
      <w:r w:rsidRPr="00DE0C4F">
        <w:rPr>
          <w:rFonts w:ascii="Times New Roman" w:eastAsia="Calibri" w:hAnsi="Times New Roman" w:cs="Times New Roman"/>
          <w:kern w:val="0"/>
          <w:sz w:val="24"/>
          <w:szCs w:val="24"/>
          <w14:ligatures w14:val="none"/>
        </w:rPr>
        <w:t xml:space="preserve">, 522 U.S. 52, 65 (1997)).  However, the conspirator must have been “aware of the essential nature and scope of the enterprise and intended to participate in it.”  </w:t>
      </w:r>
      <w:r w:rsidRPr="00DE0C4F">
        <w:rPr>
          <w:rFonts w:ascii="Times New Roman" w:eastAsia="Calibri" w:hAnsi="Times New Roman" w:cs="Times New Roman"/>
          <w:i/>
          <w:iCs/>
          <w:kern w:val="0"/>
          <w:sz w:val="24"/>
          <w:szCs w:val="24"/>
          <w14:ligatures w14:val="none"/>
        </w:rPr>
        <w:t>Id</w:t>
      </w:r>
      <w:r w:rsidRPr="00DE0C4F">
        <w:rPr>
          <w:rFonts w:ascii="Times New Roman" w:eastAsia="Calibri" w:hAnsi="Times New Roman" w:cs="Times New Roman"/>
          <w:kern w:val="0"/>
          <w:sz w:val="24"/>
          <w:szCs w:val="24"/>
          <w14:ligatures w14:val="none"/>
        </w:rPr>
        <w:t xml:space="preserve">. (citing </w:t>
      </w:r>
      <w:proofErr w:type="spellStart"/>
      <w:r w:rsidRPr="00DE0C4F">
        <w:rPr>
          <w:rFonts w:ascii="Times New Roman" w:eastAsia="Calibri" w:hAnsi="Times New Roman" w:cs="Times New Roman"/>
          <w:i/>
          <w:iCs/>
          <w:kern w:val="0"/>
          <w:sz w:val="24"/>
          <w:szCs w:val="24"/>
          <w14:ligatures w14:val="none"/>
        </w:rPr>
        <w:t>Baumer</w:t>
      </w:r>
      <w:proofErr w:type="spellEnd"/>
      <w:r w:rsidRPr="00DE0C4F">
        <w:rPr>
          <w:rFonts w:ascii="Times New Roman" w:eastAsia="Calibri" w:hAnsi="Times New Roman" w:cs="Times New Roman"/>
          <w:i/>
          <w:iCs/>
          <w:kern w:val="0"/>
          <w:sz w:val="24"/>
          <w:szCs w:val="24"/>
          <w14:ligatures w14:val="none"/>
        </w:rPr>
        <w:t xml:space="preserve"> v. Pachl</w:t>
      </w:r>
      <w:r w:rsidRPr="00DE0C4F">
        <w:rPr>
          <w:rFonts w:ascii="Times New Roman" w:eastAsia="Calibri" w:hAnsi="Times New Roman" w:cs="Times New Roman"/>
          <w:kern w:val="0"/>
          <w:sz w:val="24"/>
          <w:szCs w:val="24"/>
          <w14:ligatures w14:val="none"/>
        </w:rPr>
        <w:t xml:space="preserve">, 8 F.3d 1341, 1346 (9th Cir. 1993)).  The “agreement need not be express as long as its existence can be inferred from words, actions, or interdependence of activities and persons involved.”  </w:t>
      </w:r>
      <w:r w:rsidRPr="00DE0C4F">
        <w:rPr>
          <w:rFonts w:ascii="Times New Roman" w:eastAsia="Calibri" w:hAnsi="Times New Roman" w:cs="Times New Roman"/>
          <w:i/>
          <w:iCs/>
          <w:kern w:val="0"/>
          <w:sz w:val="24"/>
          <w:szCs w:val="24"/>
          <w14:ligatures w14:val="none"/>
        </w:rPr>
        <w:t>Oki Semiconductor Co.</w:t>
      </w:r>
      <w:r w:rsidRPr="00DE0C4F">
        <w:rPr>
          <w:rFonts w:ascii="Times New Roman" w:eastAsia="Calibri" w:hAnsi="Times New Roman" w:cs="Times New Roman"/>
          <w:kern w:val="0"/>
          <w:sz w:val="24"/>
          <w:szCs w:val="24"/>
          <w14:ligatures w14:val="none"/>
        </w:rPr>
        <w:t>, 298 F.3d at 775.  If a RICO conspiracy is demonstrated, “[a]</w:t>
      </w:r>
      <w:proofErr w:type="spellStart"/>
      <w:r w:rsidRPr="00DE0C4F">
        <w:rPr>
          <w:rFonts w:ascii="Times New Roman" w:eastAsia="Calibri" w:hAnsi="Times New Roman" w:cs="Times New Roman"/>
          <w:kern w:val="0"/>
          <w:sz w:val="24"/>
          <w:szCs w:val="24"/>
          <w14:ligatures w14:val="none"/>
        </w:rPr>
        <w:t>ll</w:t>
      </w:r>
      <w:proofErr w:type="spellEnd"/>
      <w:r w:rsidRPr="00DE0C4F">
        <w:rPr>
          <w:rFonts w:ascii="Times New Roman" w:eastAsia="Calibri" w:hAnsi="Times New Roman" w:cs="Times New Roman"/>
          <w:kern w:val="0"/>
          <w:sz w:val="24"/>
          <w:szCs w:val="24"/>
          <w14:ligatures w14:val="none"/>
        </w:rPr>
        <w:t xml:space="preserve"> conspirators are liable for the acts of their co-conspirators.”  </w:t>
      </w:r>
      <w:r w:rsidRPr="00DE0C4F">
        <w:rPr>
          <w:rFonts w:ascii="Times New Roman" w:eastAsia="Calibri" w:hAnsi="Times New Roman" w:cs="Times New Roman"/>
          <w:i/>
          <w:iCs/>
          <w:kern w:val="0"/>
          <w:sz w:val="24"/>
          <w:szCs w:val="24"/>
          <w14:ligatures w14:val="none"/>
        </w:rPr>
        <w:t>Id</w:t>
      </w:r>
      <w:r w:rsidRPr="00DE0C4F">
        <w:rPr>
          <w:rFonts w:ascii="Times New Roman" w:eastAsia="Calibri" w:hAnsi="Times New Roman" w:cs="Times New Roman"/>
          <w:kern w:val="0"/>
          <w:sz w:val="24"/>
          <w:szCs w:val="24"/>
          <w14:ligatures w14:val="none"/>
        </w:rPr>
        <w:t>. (citation omitted).</w:t>
      </w:r>
    </w:p>
    <w:p w14:paraId="7DA79DF7"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22641986"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A defendant can be held liable for a RICO conspiracy if the evidence shows that he or she “knowingly agree[d] to facilitate a scheme which includes the operation or management of a RICO enterprise.”  </w:t>
      </w:r>
      <w:r w:rsidRPr="00DE0C4F">
        <w:rPr>
          <w:rFonts w:ascii="Times New Roman" w:eastAsia="Calibri" w:hAnsi="Times New Roman" w:cs="Times New Roman"/>
          <w:i/>
          <w:iCs/>
          <w:kern w:val="0"/>
          <w:sz w:val="24"/>
          <w:szCs w:val="24"/>
          <w14:ligatures w14:val="none"/>
        </w:rPr>
        <w:t>United States v. Fernandez</w:t>
      </w:r>
      <w:r w:rsidRPr="00DE0C4F">
        <w:rPr>
          <w:rFonts w:ascii="Times New Roman" w:eastAsia="Calibri" w:hAnsi="Times New Roman" w:cs="Times New Roman"/>
          <w:kern w:val="0"/>
          <w:sz w:val="24"/>
          <w:szCs w:val="24"/>
          <w14:ligatures w14:val="none"/>
        </w:rPr>
        <w:t xml:space="preserve">, 388 F.3d 1199, 1229-30 (9th Cir. 2004) (citation omitted).  There is no requirement that the defendant have actually conspired to operate or manage the enterprise himself or herself.  </w:t>
      </w:r>
      <w:r w:rsidRPr="00DE0C4F">
        <w:rPr>
          <w:rFonts w:ascii="Times New Roman" w:eastAsia="Calibri" w:hAnsi="Times New Roman" w:cs="Times New Roman"/>
          <w:i/>
          <w:iCs/>
          <w:kern w:val="0"/>
          <w:sz w:val="24"/>
          <w:szCs w:val="24"/>
          <w14:ligatures w14:val="none"/>
        </w:rPr>
        <w:t>Id</w:t>
      </w:r>
      <w:r w:rsidRPr="00DE0C4F">
        <w:rPr>
          <w:rFonts w:ascii="Times New Roman" w:eastAsia="Calibri" w:hAnsi="Times New Roman" w:cs="Times New Roman"/>
          <w:kern w:val="0"/>
          <w:sz w:val="24"/>
          <w:szCs w:val="24"/>
          <w14:ligatures w14:val="none"/>
        </w:rPr>
        <w:t>. (affirming conviction under § 1962(d) of defendant who collected money on behalf of member of enterprise, facilitated communications between conspirators and accepted payment for drugs sold through enterprise).</w:t>
      </w:r>
    </w:p>
    <w:p w14:paraId="7533E8D7"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63788507"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Section 1962(d) applies to </w:t>
      </w:r>
      <w:proofErr w:type="spellStart"/>
      <w:r w:rsidRPr="00DE0C4F">
        <w:rPr>
          <w:rFonts w:ascii="Times New Roman" w:eastAsia="Calibri" w:hAnsi="Times New Roman" w:cs="Times New Roman"/>
          <w:kern w:val="0"/>
          <w:sz w:val="24"/>
          <w:szCs w:val="24"/>
          <w14:ligatures w14:val="none"/>
        </w:rPr>
        <w:t>intracorporate</w:t>
      </w:r>
      <w:proofErr w:type="spellEnd"/>
      <w:r w:rsidRPr="00DE0C4F">
        <w:rPr>
          <w:rFonts w:ascii="Times New Roman" w:eastAsia="Calibri" w:hAnsi="Times New Roman" w:cs="Times New Roman"/>
          <w:kern w:val="0"/>
          <w:sz w:val="24"/>
          <w:szCs w:val="24"/>
          <w14:ligatures w14:val="none"/>
        </w:rPr>
        <w:t xml:space="preserve">, as well as intercorporate conspiracies; thus, it is possible for a corporation to engage in a RICO conspiracy with its own officers and representatives.  </w:t>
      </w:r>
      <w:r w:rsidRPr="00DE0C4F">
        <w:rPr>
          <w:rFonts w:ascii="Times New Roman" w:eastAsia="Calibri" w:hAnsi="Times New Roman" w:cs="Times New Roman"/>
          <w:i/>
          <w:iCs/>
          <w:kern w:val="0"/>
          <w:sz w:val="24"/>
          <w:szCs w:val="24"/>
          <w14:ligatures w14:val="none"/>
        </w:rPr>
        <w:t xml:space="preserve">Webster v. </w:t>
      </w:r>
      <w:proofErr w:type="spellStart"/>
      <w:r w:rsidRPr="00DE0C4F">
        <w:rPr>
          <w:rFonts w:ascii="Times New Roman" w:eastAsia="Calibri" w:hAnsi="Times New Roman" w:cs="Times New Roman"/>
          <w:i/>
          <w:iCs/>
          <w:kern w:val="0"/>
          <w:sz w:val="24"/>
          <w:szCs w:val="24"/>
          <w14:ligatures w14:val="none"/>
        </w:rPr>
        <w:t>Omnitron</w:t>
      </w:r>
      <w:proofErr w:type="spellEnd"/>
      <w:r w:rsidRPr="00DE0C4F">
        <w:rPr>
          <w:rFonts w:ascii="Times New Roman" w:eastAsia="Calibri" w:hAnsi="Times New Roman" w:cs="Times New Roman"/>
          <w:i/>
          <w:iCs/>
          <w:kern w:val="0"/>
          <w:sz w:val="24"/>
          <w:szCs w:val="24"/>
          <w14:ligatures w14:val="none"/>
        </w:rPr>
        <w:t xml:space="preserve"> Int’l</w:t>
      </w:r>
      <w:r w:rsidRPr="00DE0C4F">
        <w:rPr>
          <w:rFonts w:ascii="Times New Roman" w:eastAsia="Calibri" w:hAnsi="Times New Roman" w:cs="Times New Roman"/>
          <w:kern w:val="0"/>
          <w:sz w:val="24"/>
          <w:szCs w:val="24"/>
          <w14:ligatures w14:val="none"/>
        </w:rPr>
        <w:t xml:space="preserve">, 79 F.3d 776, 787 (9th Cir. 1996) (quoting with approval </w:t>
      </w:r>
      <w:r w:rsidRPr="00DE0C4F">
        <w:rPr>
          <w:rFonts w:ascii="Times New Roman" w:eastAsia="Calibri" w:hAnsi="Times New Roman" w:cs="Times New Roman"/>
          <w:i/>
          <w:iCs/>
          <w:kern w:val="0"/>
          <w:sz w:val="24"/>
          <w:szCs w:val="24"/>
          <w14:ligatures w14:val="none"/>
        </w:rPr>
        <w:t>Ashland Oil, Inc. v. Arnett</w:t>
      </w:r>
      <w:r w:rsidRPr="00DE0C4F">
        <w:rPr>
          <w:rFonts w:ascii="Times New Roman" w:eastAsia="Calibri" w:hAnsi="Times New Roman" w:cs="Times New Roman"/>
          <w:kern w:val="0"/>
          <w:sz w:val="24"/>
          <w:szCs w:val="24"/>
          <w14:ligatures w14:val="none"/>
        </w:rPr>
        <w:t>, 875 F.2d 1271 (7th Cir. 1998), for the proposition that “</w:t>
      </w:r>
      <w:proofErr w:type="spellStart"/>
      <w:r w:rsidRPr="00DE0C4F">
        <w:rPr>
          <w:rFonts w:ascii="Times New Roman" w:eastAsia="Calibri" w:hAnsi="Times New Roman" w:cs="Times New Roman"/>
          <w:kern w:val="0"/>
          <w:sz w:val="24"/>
          <w:szCs w:val="24"/>
          <w14:ligatures w14:val="none"/>
        </w:rPr>
        <w:t>intracorporate</w:t>
      </w:r>
      <w:proofErr w:type="spellEnd"/>
      <w:r w:rsidRPr="00DE0C4F">
        <w:rPr>
          <w:rFonts w:ascii="Times New Roman" w:eastAsia="Calibri" w:hAnsi="Times New Roman" w:cs="Times New Roman"/>
          <w:kern w:val="0"/>
          <w:sz w:val="24"/>
          <w:szCs w:val="24"/>
          <w14:ligatures w14:val="none"/>
        </w:rPr>
        <w:t xml:space="preserve"> conspiracies … threaten RICO’s goals of preventing the infiltration of legitimate businesses by racketeers and separating racketeers from their profits”).</w:t>
      </w:r>
    </w:p>
    <w:p w14:paraId="21944060"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4F766CC1"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ab/>
        <w:t xml:space="preserve">For model jury instructions that may be helpful, </w:t>
      </w:r>
      <w:r w:rsidRPr="00DE0C4F">
        <w:rPr>
          <w:rFonts w:ascii="Times New Roman" w:eastAsia="Calibri" w:hAnsi="Times New Roman" w:cs="Times New Roman"/>
          <w:i/>
          <w:iCs/>
          <w:kern w:val="0"/>
          <w:sz w:val="24"/>
          <w:szCs w:val="24"/>
          <w14:ligatures w14:val="none"/>
        </w:rPr>
        <w:t xml:space="preserve">see </w:t>
      </w:r>
      <w:r w:rsidRPr="00DE0C4F">
        <w:rPr>
          <w:rFonts w:ascii="Times New Roman" w:eastAsia="Calibri" w:hAnsi="Times New Roman" w:cs="Times New Roman"/>
          <w:kern w:val="0"/>
          <w:sz w:val="24"/>
          <w:szCs w:val="24"/>
          <w14:ligatures w14:val="none"/>
        </w:rPr>
        <w:t>Eleventh Circuit Pattern Jury Instructions—Civil Cases (20</w:t>
      </w:r>
      <w:r>
        <w:rPr>
          <w:rFonts w:ascii="Times New Roman" w:eastAsia="Calibri" w:hAnsi="Times New Roman" w:cs="Times New Roman"/>
          <w:kern w:val="0"/>
          <w:sz w:val="24"/>
          <w:szCs w:val="24"/>
          <w14:ligatures w14:val="none"/>
        </w:rPr>
        <w:t>24</w:t>
      </w:r>
      <w:r w:rsidRPr="00DE0C4F">
        <w:rPr>
          <w:rFonts w:ascii="Times New Roman" w:eastAsia="Calibri" w:hAnsi="Times New Roman" w:cs="Times New Roman"/>
          <w:kern w:val="0"/>
          <w:sz w:val="24"/>
          <w:szCs w:val="24"/>
          <w14:ligatures w14:val="none"/>
        </w:rPr>
        <w:t xml:space="preserve">), Instructions 7.1 </w:t>
      </w:r>
      <w:r w:rsidRPr="00DE0C4F">
        <w:rPr>
          <w:rFonts w:ascii="Times New Roman" w:eastAsia="Calibri" w:hAnsi="Times New Roman" w:cs="Times New Roman"/>
          <w:i/>
          <w:iCs/>
          <w:kern w:val="0"/>
          <w:sz w:val="24"/>
          <w:szCs w:val="24"/>
          <w14:ligatures w14:val="none"/>
        </w:rPr>
        <w:t>et seq.</w:t>
      </w:r>
    </w:p>
    <w:p w14:paraId="0D3705B4"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12E278D9"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r w:rsidRPr="00DE0C4F">
        <w:rPr>
          <w:rFonts w:ascii="Times New Roman" w:eastAsia="Calibri" w:hAnsi="Times New Roman" w:cs="Times New Roman"/>
          <w:kern w:val="0"/>
          <w:sz w:val="24"/>
          <w:szCs w:val="24"/>
          <w14:ligatures w14:val="none"/>
        </w:rPr>
        <w:t>These instructions may be accessed at:</w:t>
      </w:r>
    </w:p>
    <w:p w14:paraId="1542E7FD"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42CA8F81" w14:textId="77777777" w:rsidR="00B36C48" w:rsidRDefault="00B36C48" w:rsidP="00B36C48">
      <w:pPr>
        <w:autoSpaceDE w:val="0"/>
        <w:autoSpaceDN w:val="0"/>
        <w:adjustRightInd w:val="0"/>
        <w:spacing w:after="0"/>
        <w:rPr>
          <w:rFonts w:ascii="Times New Roman" w:eastAsia="Calibri" w:hAnsi="Times New Roman" w:cs="Times New Roman"/>
          <w:kern w:val="0"/>
          <w14:ligatures w14:val="none"/>
        </w:rPr>
      </w:pPr>
      <w:hyperlink r:id="rId4" w:history="1">
        <w:r w:rsidRPr="00DE414F">
          <w:rPr>
            <w:rStyle w:val="Hyperlink"/>
            <w:rFonts w:ascii="Times New Roman" w:eastAsia="Calibri" w:hAnsi="Times New Roman" w:cs="Times New Roman"/>
            <w:kern w:val="0"/>
            <w14:ligatures w14:val="none"/>
          </w:rPr>
          <w:t>https://www.ca11.uscourts.gov/sites/default/files/courtdocs/clk/FormCivilPatternJuryInstructionsRevisedAPR2024.pdf</w:t>
        </w:r>
      </w:hyperlink>
      <w:r>
        <w:rPr>
          <w:rFonts w:ascii="Times New Roman" w:eastAsia="Calibri" w:hAnsi="Times New Roman" w:cs="Times New Roman"/>
          <w:kern w:val="0"/>
          <w14:ligatures w14:val="none"/>
        </w:rPr>
        <w:t xml:space="preserve">  or </w:t>
      </w:r>
      <w:hyperlink r:id="rId5" w:history="1">
        <w:r w:rsidRPr="00DE414F">
          <w:rPr>
            <w:rStyle w:val="Hyperlink"/>
            <w:rFonts w:ascii="Times New Roman" w:eastAsia="Calibri" w:hAnsi="Times New Roman" w:cs="Times New Roman"/>
            <w:kern w:val="0"/>
            <w14:ligatures w14:val="none"/>
          </w:rPr>
          <w:t>https://perma.cc/47JL-KDVS</w:t>
        </w:r>
      </w:hyperlink>
      <w:r>
        <w:rPr>
          <w:rFonts w:ascii="Times New Roman" w:eastAsia="Calibri" w:hAnsi="Times New Roman" w:cs="Times New Roman"/>
          <w:kern w:val="0"/>
          <w14:ligatures w14:val="none"/>
        </w:rPr>
        <w:t xml:space="preserve"> </w:t>
      </w:r>
    </w:p>
    <w:p w14:paraId="6FF02359" w14:textId="77777777" w:rsidR="00B36C48" w:rsidRPr="00FE5E14" w:rsidRDefault="00B36C48" w:rsidP="00B36C48">
      <w:pPr>
        <w:autoSpaceDE w:val="0"/>
        <w:autoSpaceDN w:val="0"/>
        <w:adjustRightInd w:val="0"/>
        <w:spacing w:after="0"/>
        <w:rPr>
          <w:rFonts w:ascii="Times New Roman" w:eastAsia="Calibri" w:hAnsi="Times New Roman" w:cs="Times New Roman"/>
          <w:kern w:val="0"/>
          <w14:ligatures w14:val="none"/>
        </w:rPr>
      </w:pPr>
    </w:p>
    <w:p w14:paraId="6A890537"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259A00CC" w14:textId="77777777" w:rsidR="00B36C48" w:rsidRPr="00DE0C4F" w:rsidRDefault="00B36C48" w:rsidP="00B36C48">
      <w:pPr>
        <w:autoSpaceDE w:val="0"/>
        <w:autoSpaceDN w:val="0"/>
        <w:adjustRightInd w:val="0"/>
        <w:spacing w:after="0"/>
        <w:rPr>
          <w:rFonts w:ascii="Times New Roman" w:eastAsia="Calibri" w:hAnsi="Times New Roman" w:cs="Times New Roman"/>
          <w:kern w:val="0"/>
          <w:sz w:val="24"/>
          <w:szCs w:val="24"/>
          <w14:ligatures w14:val="none"/>
        </w:rPr>
      </w:pPr>
    </w:p>
    <w:p w14:paraId="6A53F9B3" w14:textId="0C0F962F" w:rsidR="00B03D36" w:rsidRDefault="00B36C48" w:rsidP="00B36C48">
      <w:pPr>
        <w:jc w:val="right"/>
      </w:pPr>
      <w:r w:rsidRPr="00DE0C4F">
        <w:rPr>
          <w:rFonts w:ascii="Times New Roman" w:eastAsia="Calibri" w:hAnsi="Times New Roman" w:cs="Times New Roman"/>
          <w:i/>
          <w:iCs/>
          <w:kern w:val="0"/>
          <w:sz w:val="24"/>
          <w:szCs w:val="24"/>
          <w14:ligatures w14:val="none"/>
        </w:rPr>
        <w:t>Revised Mar</w:t>
      </w:r>
      <w:r>
        <w:rPr>
          <w:rFonts w:ascii="Times New Roman" w:eastAsia="Calibri" w:hAnsi="Times New Roman" w:cs="Times New Roman"/>
          <w:i/>
          <w:iCs/>
          <w:kern w:val="0"/>
          <w:sz w:val="24"/>
          <w:szCs w:val="24"/>
          <w14:ligatures w14:val="none"/>
        </w:rPr>
        <w:t>ch</w:t>
      </w:r>
      <w:r w:rsidRPr="00DE0C4F">
        <w:rPr>
          <w:rFonts w:ascii="Times New Roman" w:eastAsia="Calibri" w:hAnsi="Times New Roman" w:cs="Times New Roman"/>
          <w:i/>
          <w:iCs/>
          <w:kern w:val="0"/>
          <w:sz w:val="24"/>
          <w:szCs w:val="24"/>
          <w14:ligatures w14:val="none"/>
        </w:rPr>
        <w:t xml:space="preserve"> 2025</w:t>
      </w:r>
    </w:p>
    <w:sectPr w:rsidR="00B03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48"/>
    <w:rsid w:val="000915EE"/>
    <w:rsid w:val="001B2DC0"/>
    <w:rsid w:val="00335C15"/>
    <w:rsid w:val="005F374F"/>
    <w:rsid w:val="00922469"/>
    <w:rsid w:val="00B03D36"/>
    <w:rsid w:val="00B36C48"/>
    <w:rsid w:val="00F109E1"/>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6F55"/>
  <w15:chartTrackingRefBased/>
  <w15:docId w15:val="{4C5C7F26-3F6C-4141-8E43-C9994FD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C48"/>
    <w:pPr>
      <w:spacing w:line="240" w:lineRule="auto"/>
    </w:pPr>
    <w:rPr>
      <w:sz w:val="22"/>
      <w:szCs w:val="22"/>
    </w:rPr>
  </w:style>
  <w:style w:type="paragraph" w:styleId="Heading1">
    <w:name w:val="heading 1"/>
    <w:aliases w:val="JIC Headings"/>
    <w:basedOn w:val="Normal"/>
    <w:next w:val="Normal"/>
    <w:link w:val="Heading1Char"/>
    <w:uiPriority w:val="9"/>
    <w:qFormat/>
    <w:rsid w:val="00922469"/>
    <w:pPr>
      <w:keepNext/>
      <w:keepLines/>
      <w:spacing w:after="0"/>
      <w:jc w:val="center"/>
      <w:outlineLvl w:val="0"/>
    </w:pPr>
    <w:rPr>
      <w:rFonts w:ascii="Times New Roman" w:eastAsiaTheme="majorEastAsia" w:hAnsi="Times New Roman" w:cstheme="majorBidi"/>
      <w:b/>
      <w:color w:val="000000" w:themeColor="text1"/>
      <w:sz w:val="24"/>
      <w:szCs w:val="40"/>
    </w:rPr>
  </w:style>
  <w:style w:type="paragraph" w:styleId="Heading2">
    <w:name w:val="heading 2"/>
    <w:basedOn w:val="Normal"/>
    <w:next w:val="Normal"/>
    <w:link w:val="Heading2Char"/>
    <w:uiPriority w:val="9"/>
    <w:semiHidden/>
    <w:unhideWhenUsed/>
    <w:qFormat/>
    <w:rsid w:val="00B36C4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C4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C4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36C4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36C4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36C4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36C4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36C4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semiHidden/>
    <w:rsid w:val="00B36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C48"/>
    <w:rPr>
      <w:rFonts w:eastAsiaTheme="majorEastAsia" w:cstheme="majorBidi"/>
      <w:color w:val="272727" w:themeColor="text1" w:themeTint="D8"/>
    </w:rPr>
  </w:style>
  <w:style w:type="paragraph" w:styleId="Title">
    <w:name w:val="Title"/>
    <w:basedOn w:val="Normal"/>
    <w:next w:val="Normal"/>
    <w:link w:val="TitleChar"/>
    <w:uiPriority w:val="10"/>
    <w:qFormat/>
    <w:rsid w:val="00B36C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C4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C4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36C48"/>
    <w:rPr>
      <w:i/>
      <w:iCs/>
      <w:color w:val="404040" w:themeColor="text1" w:themeTint="BF"/>
    </w:rPr>
  </w:style>
  <w:style w:type="paragraph" w:styleId="ListParagraph">
    <w:name w:val="List Paragraph"/>
    <w:basedOn w:val="Normal"/>
    <w:uiPriority w:val="34"/>
    <w:qFormat/>
    <w:rsid w:val="00B36C48"/>
    <w:pPr>
      <w:spacing w:line="278" w:lineRule="auto"/>
      <w:ind w:left="720"/>
      <w:contextualSpacing/>
    </w:pPr>
    <w:rPr>
      <w:sz w:val="24"/>
      <w:szCs w:val="24"/>
    </w:rPr>
  </w:style>
  <w:style w:type="character" w:styleId="IntenseEmphasis">
    <w:name w:val="Intense Emphasis"/>
    <w:basedOn w:val="DefaultParagraphFont"/>
    <w:uiPriority w:val="21"/>
    <w:qFormat/>
    <w:rsid w:val="00B36C48"/>
    <w:rPr>
      <w:i/>
      <w:iCs/>
      <w:color w:val="0F4761" w:themeColor="accent1" w:themeShade="BF"/>
    </w:rPr>
  </w:style>
  <w:style w:type="paragraph" w:styleId="IntenseQuote">
    <w:name w:val="Intense Quote"/>
    <w:basedOn w:val="Normal"/>
    <w:next w:val="Normal"/>
    <w:link w:val="IntenseQuoteChar"/>
    <w:uiPriority w:val="30"/>
    <w:qFormat/>
    <w:rsid w:val="00B36C4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36C48"/>
    <w:rPr>
      <w:i/>
      <w:iCs/>
      <w:color w:val="0F4761" w:themeColor="accent1" w:themeShade="BF"/>
    </w:rPr>
  </w:style>
  <w:style w:type="character" w:styleId="IntenseReference">
    <w:name w:val="Intense Reference"/>
    <w:basedOn w:val="DefaultParagraphFont"/>
    <w:uiPriority w:val="32"/>
    <w:qFormat/>
    <w:rsid w:val="00B36C48"/>
    <w:rPr>
      <w:b/>
      <w:bCs/>
      <w:smallCaps/>
      <w:color w:val="0F4761" w:themeColor="accent1" w:themeShade="BF"/>
      <w:spacing w:val="5"/>
    </w:rPr>
  </w:style>
  <w:style w:type="character" w:styleId="Hyperlink">
    <w:name w:val="Hyperlink"/>
    <w:basedOn w:val="DefaultParagraphFont"/>
    <w:uiPriority w:val="99"/>
    <w:unhideWhenUsed/>
    <w:rsid w:val="00B36C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rma.cc/47JL-KDVS" TargetMode="External"/><Relationship Id="rId4" Type="http://schemas.openxmlformats.org/officeDocument/2006/relationships/hyperlink" Target="https://www.ca11.uscourts.gov/sites/default/files/courtdocs/clk/FormCivilPatternJuryInstructionsRevisedAPR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2088</Words>
  <Characters>11906</Characters>
  <Application>Microsoft Office Word</Application>
  <DocSecurity>0</DocSecurity>
  <Lines>99</Lines>
  <Paragraphs>27</Paragraphs>
  <ScaleCrop>false</ScaleCrop>
  <Company>United States Courts</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2025-04-24T20:52:00Z</dcterms:created>
  <dcterms:modified xsi:type="dcterms:W3CDTF">2025-04-24T20:57:00Z</dcterms:modified>
</cp:coreProperties>
</file>