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D4CF" w14:textId="77777777" w:rsidR="0067704F" w:rsidRPr="0067704F" w:rsidRDefault="0067704F" w:rsidP="0067704F">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103098155"/>
      <w:r w:rsidRPr="0067704F">
        <w:rPr>
          <w:rFonts w:ascii="Times New Roman" w:hAnsi="Times New Roman" w:cs="Times New Roman"/>
          <w:b/>
          <w:bCs/>
          <w:sz w:val="24"/>
          <w:szCs w:val="24"/>
        </w:rPr>
        <w:t>Introductory Comment</w:t>
      </w:r>
      <w:bookmarkEnd w:id="0"/>
    </w:p>
    <w:p w14:paraId="4526EFC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1C9725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This chapter focuses on 42 U.S.C. § 1983, which provides:</w:t>
      </w:r>
    </w:p>
    <w:p w14:paraId="28338324"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B3ABD44" w14:textId="77777777" w:rsidR="0067704F" w:rsidRPr="0067704F" w:rsidRDefault="0067704F" w:rsidP="0067704F">
      <w:pPr>
        <w:autoSpaceDE w:val="0"/>
        <w:autoSpaceDN w:val="0"/>
        <w:adjustRightInd w:val="0"/>
        <w:spacing w:after="0" w:line="240" w:lineRule="auto"/>
        <w:ind w:left="720" w:right="720"/>
        <w:jc w:val="both"/>
        <w:rPr>
          <w:rFonts w:ascii="Times New Roman" w:hAnsi="Times New Roman" w:cs="Times New Roman"/>
          <w:sz w:val="24"/>
          <w:szCs w:val="24"/>
        </w:rPr>
      </w:pPr>
      <w:r w:rsidRPr="0067704F">
        <w:rPr>
          <w:rFonts w:ascii="Times New Roman" w:hAnsi="Times New Roman" w:cs="Times New Roman"/>
          <w:sz w:val="24"/>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777BCB9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33E63A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6B81EAF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67704F" w:rsidRPr="0067704F" w14:paraId="6E6347AA" w14:textId="77777777" w:rsidTr="00487D46">
        <w:trPr>
          <w:cantSplit/>
        </w:trPr>
        <w:tc>
          <w:tcPr>
            <w:tcW w:w="9360" w:type="dxa"/>
            <w:gridSpan w:val="3"/>
            <w:tcBorders>
              <w:top w:val="single" w:sz="6" w:space="0" w:color="000000"/>
              <w:left w:val="single" w:sz="6" w:space="0" w:color="000000"/>
              <w:bottom w:val="nil"/>
              <w:right w:val="single" w:sz="6" w:space="0" w:color="000000"/>
            </w:tcBorders>
          </w:tcPr>
          <w:p w14:paraId="7220C645"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 xml:space="preserve">Elements Instructions </w:t>
            </w:r>
          </w:p>
        </w:tc>
      </w:tr>
      <w:tr w:rsidR="0067704F" w:rsidRPr="0067704F" w14:paraId="390F24CD" w14:textId="77777777" w:rsidTr="00487D46">
        <w:trPr>
          <w:cantSplit/>
        </w:trPr>
        <w:tc>
          <w:tcPr>
            <w:tcW w:w="2700" w:type="dxa"/>
            <w:tcBorders>
              <w:top w:val="single" w:sz="6" w:space="0" w:color="000000"/>
              <w:left w:val="single" w:sz="6" w:space="0" w:color="000000"/>
              <w:bottom w:val="nil"/>
              <w:right w:val="nil"/>
            </w:tcBorders>
          </w:tcPr>
          <w:p w14:paraId="71C135AC"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Type of Claim</w:t>
            </w:r>
          </w:p>
        </w:tc>
        <w:tc>
          <w:tcPr>
            <w:tcW w:w="4860" w:type="dxa"/>
            <w:tcBorders>
              <w:top w:val="single" w:sz="6" w:space="0" w:color="000000"/>
              <w:left w:val="single" w:sz="6" w:space="0" w:color="000000"/>
              <w:bottom w:val="nil"/>
              <w:right w:val="nil"/>
            </w:tcBorders>
          </w:tcPr>
          <w:p w14:paraId="1C34FD80"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 xml:space="preserve">Elements </w:t>
            </w:r>
          </w:p>
        </w:tc>
        <w:tc>
          <w:tcPr>
            <w:tcW w:w="1800" w:type="dxa"/>
            <w:tcBorders>
              <w:top w:val="single" w:sz="6" w:space="0" w:color="000000"/>
              <w:left w:val="single" w:sz="6" w:space="0" w:color="000000"/>
              <w:bottom w:val="nil"/>
              <w:right w:val="single" w:sz="6" w:space="0" w:color="000000"/>
            </w:tcBorders>
          </w:tcPr>
          <w:p w14:paraId="37EDCE46"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270FF656"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503B05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Against Individuals</w:t>
            </w:r>
          </w:p>
        </w:tc>
        <w:tc>
          <w:tcPr>
            <w:tcW w:w="4860" w:type="dxa"/>
            <w:tcBorders>
              <w:top w:val="single" w:sz="6" w:space="0" w:color="000000"/>
              <w:left w:val="single" w:sz="6" w:space="0" w:color="000000"/>
              <w:bottom w:val="nil"/>
              <w:right w:val="nil"/>
            </w:tcBorders>
          </w:tcPr>
          <w:p w14:paraId="49914B6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Individual Capacity</w:t>
            </w:r>
          </w:p>
        </w:tc>
        <w:tc>
          <w:tcPr>
            <w:tcW w:w="1800" w:type="dxa"/>
            <w:tcBorders>
              <w:top w:val="single" w:sz="6" w:space="0" w:color="000000"/>
              <w:left w:val="single" w:sz="6" w:space="0" w:color="000000"/>
              <w:bottom w:val="nil"/>
              <w:right w:val="single" w:sz="6" w:space="0" w:color="000000"/>
            </w:tcBorders>
          </w:tcPr>
          <w:p w14:paraId="66069F0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9.3</w:t>
            </w:r>
          </w:p>
        </w:tc>
      </w:tr>
      <w:tr w:rsidR="0067704F" w:rsidRPr="0067704F" w14:paraId="75C405A9" w14:textId="77777777" w:rsidTr="00487D46">
        <w:trPr>
          <w:cantSplit/>
        </w:trPr>
        <w:tc>
          <w:tcPr>
            <w:tcW w:w="2700" w:type="dxa"/>
            <w:vMerge/>
            <w:tcBorders>
              <w:top w:val="single" w:sz="6" w:space="0" w:color="000000"/>
              <w:left w:val="single" w:sz="6" w:space="0" w:color="000000"/>
              <w:bottom w:val="nil"/>
              <w:right w:val="nil"/>
            </w:tcBorders>
          </w:tcPr>
          <w:p w14:paraId="2A6A017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3FC6B28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44BBDAC1"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9.4</w:t>
            </w:r>
          </w:p>
        </w:tc>
      </w:tr>
      <w:tr w:rsidR="0067704F" w:rsidRPr="0067704F" w14:paraId="21D82731"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7C1A25A4" w14:textId="77777777" w:rsidR="0067704F" w:rsidRPr="0067704F" w:rsidRDefault="0067704F" w:rsidP="0067704F">
            <w:pPr>
              <w:autoSpaceDE w:val="0"/>
              <w:autoSpaceDN w:val="0"/>
              <w:adjustRightInd w:val="0"/>
              <w:spacing w:after="55" w:line="240" w:lineRule="auto"/>
              <w:rPr>
                <w:rFonts w:ascii="Times New Roman" w:hAnsi="Times New Roman" w:cs="Times New Roman"/>
                <w:sz w:val="24"/>
                <w:szCs w:val="24"/>
              </w:rPr>
            </w:pPr>
            <w:r w:rsidRPr="0067704F">
              <w:rPr>
                <w:rFonts w:ascii="Times New Roman" w:hAnsi="Times New Roman" w:cs="Times New Roman"/>
                <w:sz w:val="24"/>
                <w:szCs w:val="24"/>
              </w:rPr>
              <w:t xml:space="preserve">Against Local Governing Body </w:t>
            </w:r>
          </w:p>
        </w:tc>
        <w:tc>
          <w:tcPr>
            <w:tcW w:w="4860" w:type="dxa"/>
            <w:tcBorders>
              <w:top w:val="single" w:sz="6" w:space="0" w:color="000000"/>
              <w:left w:val="single" w:sz="6" w:space="0" w:color="000000"/>
              <w:bottom w:val="nil"/>
              <w:right w:val="nil"/>
            </w:tcBorders>
          </w:tcPr>
          <w:p w14:paraId="1223118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6663E86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9.5</w:t>
            </w:r>
          </w:p>
        </w:tc>
      </w:tr>
      <w:tr w:rsidR="0067704F" w:rsidRPr="0067704F" w14:paraId="453C9CAF" w14:textId="77777777" w:rsidTr="00487D46">
        <w:trPr>
          <w:cantSplit/>
        </w:trPr>
        <w:tc>
          <w:tcPr>
            <w:tcW w:w="2700" w:type="dxa"/>
            <w:vMerge/>
            <w:tcBorders>
              <w:top w:val="single" w:sz="6" w:space="0" w:color="000000"/>
              <w:left w:val="single" w:sz="6" w:space="0" w:color="000000"/>
              <w:bottom w:val="nil"/>
              <w:right w:val="nil"/>
            </w:tcBorders>
          </w:tcPr>
          <w:p w14:paraId="7C643FD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2CF302E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01C387C7"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9.6</w:t>
            </w:r>
          </w:p>
        </w:tc>
      </w:tr>
      <w:tr w:rsidR="0067704F" w:rsidRPr="0067704F" w14:paraId="547C82A2" w14:textId="77777777" w:rsidTr="00487D46">
        <w:trPr>
          <w:cantSplit/>
        </w:trPr>
        <w:tc>
          <w:tcPr>
            <w:tcW w:w="2700" w:type="dxa"/>
            <w:vMerge/>
            <w:tcBorders>
              <w:top w:val="single" w:sz="6" w:space="0" w:color="000000"/>
              <w:left w:val="single" w:sz="6" w:space="0" w:color="000000"/>
              <w:bottom w:val="nil"/>
              <w:right w:val="nil"/>
            </w:tcBorders>
          </w:tcPr>
          <w:p w14:paraId="4153B2AE"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42FA842B"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Ratification</w:t>
            </w:r>
          </w:p>
        </w:tc>
        <w:tc>
          <w:tcPr>
            <w:tcW w:w="1800" w:type="dxa"/>
            <w:tcBorders>
              <w:top w:val="single" w:sz="6" w:space="0" w:color="000000"/>
              <w:left w:val="single" w:sz="6" w:space="0" w:color="000000"/>
              <w:bottom w:val="nil"/>
              <w:right w:val="single" w:sz="6" w:space="0" w:color="000000"/>
            </w:tcBorders>
          </w:tcPr>
          <w:p w14:paraId="1FAD3FF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9.7</w:t>
            </w:r>
          </w:p>
        </w:tc>
      </w:tr>
      <w:tr w:rsidR="0067704F" w:rsidRPr="0067704F" w14:paraId="7E5A3197" w14:textId="77777777" w:rsidTr="00487D46">
        <w:trPr>
          <w:cantSplit/>
        </w:trPr>
        <w:tc>
          <w:tcPr>
            <w:tcW w:w="2700" w:type="dxa"/>
            <w:vMerge/>
            <w:tcBorders>
              <w:top w:val="single" w:sz="6" w:space="0" w:color="000000"/>
              <w:left w:val="single" w:sz="6" w:space="0" w:color="000000"/>
              <w:bottom w:val="single" w:sz="6" w:space="0" w:color="000000"/>
              <w:right w:val="nil"/>
            </w:tcBorders>
          </w:tcPr>
          <w:p w14:paraId="47AC63C2"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single" w:sz="6" w:space="0" w:color="000000"/>
              <w:right w:val="nil"/>
            </w:tcBorders>
          </w:tcPr>
          <w:p w14:paraId="3B7BDA53"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19737B9F"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9.8</w:t>
            </w:r>
          </w:p>
        </w:tc>
      </w:tr>
    </w:tbl>
    <w:p w14:paraId="652D5BD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829868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chart below identifies the instructions for violations of particular federal rights to be used in conjunction with an elements instruction. “Where a particular amendment ‘provides an explicit textual source of constitutional protection’ against a particular sort of government behavior, ‘that Amendment, not the more generalized notion of ‘substantive due process,’ must be the guide for analyzing these claims.’”  </w:t>
      </w:r>
      <w:r w:rsidRPr="0067704F">
        <w:rPr>
          <w:rFonts w:ascii="Times New Roman" w:hAnsi="Times New Roman" w:cs="Times New Roman"/>
          <w:i/>
          <w:iCs/>
          <w:sz w:val="24"/>
          <w:szCs w:val="24"/>
        </w:rPr>
        <w:t>Albright v. Oliver</w:t>
      </w:r>
      <w:r w:rsidRPr="0067704F">
        <w:rPr>
          <w:rFonts w:ascii="Times New Roman" w:hAnsi="Times New Roman" w:cs="Times New Roman"/>
          <w:sz w:val="24"/>
          <w:szCs w:val="24"/>
        </w:rPr>
        <w:t xml:space="preserve">, 510 U.S. 266, 273 (1994) (plurality opinion) (quoting </w:t>
      </w:r>
      <w:r w:rsidRPr="0067704F">
        <w:rPr>
          <w:rFonts w:ascii="Times New Roman" w:hAnsi="Times New Roman" w:cs="Times New Roman"/>
          <w:i/>
          <w:iCs/>
          <w:sz w:val="24"/>
          <w:szCs w:val="24"/>
        </w:rPr>
        <w:t>Graham v. Connor</w:t>
      </w:r>
      <w:r w:rsidRPr="0067704F">
        <w:rPr>
          <w:rFonts w:ascii="Times New Roman" w:hAnsi="Times New Roman" w:cs="Times New Roman"/>
          <w:sz w:val="24"/>
          <w:szCs w:val="24"/>
        </w:rPr>
        <w:t xml:space="preserve">, 490 U.S. 386, 395 (1989)); </w:t>
      </w:r>
      <w:r w:rsidRPr="0067704F">
        <w:rPr>
          <w:rFonts w:ascii="Times New Roman" w:hAnsi="Times New Roman" w:cs="Times New Roman"/>
          <w:i/>
          <w:iCs/>
          <w:sz w:val="24"/>
          <w:szCs w:val="24"/>
        </w:rPr>
        <w:t xml:space="preserve">Kirkpatrick v. </w:t>
      </w:r>
      <w:proofErr w:type="spellStart"/>
      <w:r w:rsidRPr="0067704F">
        <w:rPr>
          <w:rFonts w:ascii="Times New Roman" w:hAnsi="Times New Roman" w:cs="Times New Roman"/>
          <w:i/>
          <w:iCs/>
          <w:sz w:val="24"/>
          <w:szCs w:val="24"/>
        </w:rPr>
        <w:t>Cnty</w:t>
      </w:r>
      <w:proofErr w:type="spellEnd"/>
      <w:r w:rsidRPr="0067704F">
        <w:rPr>
          <w:rFonts w:ascii="Times New Roman" w:hAnsi="Times New Roman" w:cs="Times New Roman"/>
          <w:i/>
          <w:iCs/>
          <w:sz w:val="24"/>
          <w:szCs w:val="24"/>
        </w:rPr>
        <w:t xml:space="preserve"> of Washoe</w:t>
      </w:r>
      <w:r w:rsidRPr="0067704F">
        <w:rPr>
          <w:rFonts w:ascii="Times New Roman" w:hAnsi="Times New Roman" w:cs="Times New Roman"/>
          <w:sz w:val="24"/>
          <w:szCs w:val="24"/>
        </w:rPr>
        <w:t xml:space="preserve">, 843 F.3d 784, 788 n.2 (9th Cir. 2016).  When necessary, these instructions include right-specific mental states because § 1983 itself “contains no independent state-of-mind requirement” apart </w:t>
      </w:r>
      <w:r w:rsidRPr="0067704F">
        <w:rPr>
          <w:rFonts w:ascii="Times New Roman" w:hAnsi="Times New Roman" w:cs="Times New Roman"/>
          <w:sz w:val="24"/>
          <w:szCs w:val="24"/>
        </w:rPr>
        <w:lastRenderedPageBreak/>
        <w:t xml:space="preserve">from what is necessary to state a violation of the underlying right.  </w:t>
      </w:r>
      <w:r w:rsidRPr="0067704F">
        <w:rPr>
          <w:rFonts w:ascii="Times New Roman" w:hAnsi="Times New Roman" w:cs="Times New Roman"/>
          <w:i/>
          <w:iCs/>
          <w:sz w:val="24"/>
          <w:szCs w:val="24"/>
        </w:rPr>
        <w:t>Daniels v. Williams</w:t>
      </w:r>
      <w:r w:rsidRPr="0067704F">
        <w:rPr>
          <w:rFonts w:ascii="Times New Roman" w:hAnsi="Times New Roman" w:cs="Times New Roman"/>
          <w:sz w:val="24"/>
          <w:szCs w:val="24"/>
        </w:rPr>
        <w:t xml:space="preserve">, 474 U.S. 327, 328 (1986). </w:t>
      </w:r>
    </w:p>
    <w:p w14:paraId="0C1B863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67704F" w:rsidRPr="0067704F" w14:paraId="6866C347" w14:textId="77777777" w:rsidTr="00487D46">
        <w:trPr>
          <w:cantSplit/>
        </w:trPr>
        <w:tc>
          <w:tcPr>
            <w:tcW w:w="9360" w:type="dxa"/>
            <w:gridSpan w:val="4"/>
            <w:tcBorders>
              <w:top w:val="single" w:sz="6" w:space="0" w:color="000000"/>
              <w:left w:val="single" w:sz="6" w:space="0" w:color="000000"/>
              <w:bottom w:val="nil"/>
              <w:right w:val="single" w:sz="6" w:space="0" w:color="000000"/>
            </w:tcBorders>
          </w:tcPr>
          <w:p w14:paraId="16F8F8A0"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Particular Rights Instructions</w:t>
            </w:r>
          </w:p>
        </w:tc>
      </w:tr>
      <w:tr w:rsidR="0067704F" w:rsidRPr="0067704F" w14:paraId="588282FC" w14:textId="77777777" w:rsidTr="00487D46">
        <w:trPr>
          <w:cantSplit/>
        </w:trPr>
        <w:tc>
          <w:tcPr>
            <w:tcW w:w="2700" w:type="dxa"/>
            <w:tcBorders>
              <w:top w:val="single" w:sz="6" w:space="0" w:color="000000"/>
              <w:left w:val="single" w:sz="6" w:space="0" w:color="000000"/>
              <w:bottom w:val="nil"/>
              <w:right w:val="nil"/>
            </w:tcBorders>
            <w:vAlign w:val="center"/>
          </w:tcPr>
          <w:p w14:paraId="495E5AA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Type of Claim by Source</w:t>
            </w:r>
          </w:p>
        </w:tc>
        <w:tc>
          <w:tcPr>
            <w:tcW w:w="4860" w:type="dxa"/>
            <w:gridSpan w:val="2"/>
            <w:tcBorders>
              <w:top w:val="single" w:sz="6" w:space="0" w:color="000000"/>
              <w:left w:val="single" w:sz="6" w:space="0" w:color="000000"/>
              <w:bottom w:val="nil"/>
              <w:right w:val="nil"/>
            </w:tcBorders>
          </w:tcPr>
          <w:p w14:paraId="43C7922D"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sz w:val="24"/>
                <w:szCs w:val="24"/>
              </w:rPr>
              <w:t>Elements</w:t>
            </w:r>
          </w:p>
        </w:tc>
        <w:tc>
          <w:tcPr>
            <w:tcW w:w="1800" w:type="dxa"/>
            <w:tcBorders>
              <w:top w:val="single" w:sz="6" w:space="0" w:color="000000"/>
              <w:left w:val="single" w:sz="6" w:space="0" w:color="000000"/>
              <w:bottom w:val="nil"/>
              <w:right w:val="single" w:sz="6" w:space="0" w:color="000000"/>
            </w:tcBorders>
          </w:tcPr>
          <w:p w14:paraId="5A3FB152"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51207E22"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1E7E27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First Amendment</w:t>
            </w:r>
          </w:p>
        </w:tc>
        <w:tc>
          <w:tcPr>
            <w:tcW w:w="4860" w:type="dxa"/>
            <w:gridSpan w:val="2"/>
            <w:tcBorders>
              <w:top w:val="single" w:sz="6" w:space="0" w:color="000000"/>
              <w:left w:val="single" w:sz="6" w:space="0" w:color="000000"/>
              <w:bottom w:val="nil"/>
              <w:right w:val="nil"/>
            </w:tcBorders>
          </w:tcPr>
          <w:p w14:paraId="57E82F7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Public Employee Speech</w:t>
            </w:r>
          </w:p>
        </w:tc>
        <w:tc>
          <w:tcPr>
            <w:tcW w:w="1800" w:type="dxa"/>
            <w:tcBorders>
              <w:top w:val="single" w:sz="6" w:space="0" w:color="000000"/>
              <w:left w:val="single" w:sz="6" w:space="0" w:color="000000"/>
              <w:bottom w:val="nil"/>
              <w:right w:val="single" w:sz="6" w:space="0" w:color="000000"/>
            </w:tcBorders>
          </w:tcPr>
          <w:p w14:paraId="0172F86D"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9.9</w:t>
            </w:r>
          </w:p>
          <w:p w14:paraId="32B1268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9.10</w:t>
            </w:r>
          </w:p>
        </w:tc>
      </w:tr>
      <w:tr w:rsidR="0067704F" w:rsidRPr="0067704F" w14:paraId="55D37DF1" w14:textId="77777777" w:rsidTr="00487D46">
        <w:trPr>
          <w:cantSplit/>
          <w:trHeight w:val="453"/>
        </w:trPr>
        <w:tc>
          <w:tcPr>
            <w:tcW w:w="2700" w:type="dxa"/>
            <w:vMerge/>
            <w:tcBorders>
              <w:top w:val="single" w:sz="6" w:space="0" w:color="000000"/>
              <w:left w:val="single" w:sz="6" w:space="0" w:color="000000"/>
              <w:bottom w:val="nil"/>
              <w:right w:val="nil"/>
            </w:tcBorders>
          </w:tcPr>
          <w:p w14:paraId="6693C94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E9ED3E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“Citizen” Plaintiff</w:t>
            </w:r>
          </w:p>
        </w:tc>
        <w:tc>
          <w:tcPr>
            <w:tcW w:w="1800" w:type="dxa"/>
            <w:tcBorders>
              <w:top w:val="single" w:sz="6" w:space="0" w:color="000000"/>
              <w:left w:val="single" w:sz="6" w:space="0" w:color="000000"/>
              <w:bottom w:val="nil"/>
              <w:right w:val="single" w:sz="6" w:space="0" w:color="000000"/>
            </w:tcBorders>
          </w:tcPr>
          <w:p w14:paraId="3E336C6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9.11</w:t>
            </w:r>
          </w:p>
        </w:tc>
      </w:tr>
      <w:tr w:rsidR="0067704F" w:rsidRPr="0067704F" w14:paraId="65C73995"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D93796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DA5C2C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Search</w:t>
            </w:r>
          </w:p>
        </w:tc>
        <w:tc>
          <w:tcPr>
            <w:tcW w:w="4860" w:type="dxa"/>
            <w:gridSpan w:val="2"/>
            <w:tcBorders>
              <w:top w:val="single" w:sz="6" w:space="0" w:color="000000"/>
              <w:left w:val="single" w:sz="6" w:space="0" w:color="000000"/>
              <w:bottom w:val="nil"/>
              <w:right w:val="nil"/>
            </w:tcBorders>
          </w:tcPr>
          <w:p w14:paraId="2B2F36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Generally</w:t>
            </w:r>
          </w:p>
        </w:tc>
        <w:tc>
          <w:tcPr>
            <w:tcW w:w="1800" w:type="dxa"/>
            <w:tcBorders>
              <w:top w:val="single" w:sz="6" w:space="0" w:color="000000"/>
              <w:left w:val="single" w:sz="6" w:space="0" w:color="000000"/>
              <w:bottom w:val="nil"/>
              <w:right w:val="single" w:sz="6" w:space="0" w:color="000000"/>
            </w:tcBorders>
          </w:tcPr>
          <w:p w14:paraId="4D58E14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9.12</w:t>
            </w:r>
          </w:p>
        </w:tc>
      </w:tr>
      <w:tr w:rsidR="0067704F" w:rsidRPr="0067704F" w14:paraId="33ED6103" w14:textId="77777777" w:rsidTr="00487D46">
        <w:trPr>
          <w:cantSplit/>
          <w:trHeight w:val="727"/>
        </w:trPr>
        <w:tc>
          <w:tcPr>
            <w:tcW w:w="2700" w:type="dxa"/>
            <w:vMerge/>
            <w:tcBorders>
              <w:top w:val="single" w:sz="6" w:space="0" w:color="000000"/>
              <w:left w:val="single" w:sz="6" w:space="0" w:color="000000"/>
              <w:bottom w:val="nil"/>
              <w:right w:val="nil"/>
            </w:tcBorders>
          </w:tcPr>
          <w:p w14:paraId="26F8EC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val="restart"/>
            <w:tcBorders>
              <w:top w:val="single" w:sz="6" w:space="0" w:color="000000"/>
              <w:left w:val="single" w:sz="6" w:space="0" w:color="000000"/>
              <w:bottom w:val="nil"/>
              <w:right w:val="nil"/>
            </w:tcBorders>
          </w:tcPr>
          <w:p w14:paraId="368F659A"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p>
          <w:p w14:paraId="36398DE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90693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p w14:paraId="6C608C4A"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EF2DF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Search Incident to Arrest</w:t>
            </w:r>
          </w:p>
        </w:tc>
        <w:tc>
          <w:tcPr>
            <w:tcW w:w="1800" w:type="dxa"/>
            <w:tcBorders>
              <w:top w:val="single" w:sz="6" w:space="0" w:color="000000"/>
              <w:left w:val="single" w:sz="6" w:space="0" w:color="000000"/>
              <w:bottom w:val="nil"/>
              <w:right w:val="single" w:sz="6" w:space="0" w:color="000000"/>
            </w:tcBorders>
          </w:tcPr>
          <w:p w14:paraId="568485D8"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9.13 </w:t>
            </w:r>
          </w:p>
          <w:p w14:paraId="350FA30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9.14 (vehicle)</w:t>
            </w:r>
          </w:p>
        </w:tc>
      </w:tr>
      <w:tr w:rsidR="0067704F" w:rsidRPr="0067704F" w14:paraId="2CC015F1" w14:textId="77777777" w:rsidTr="00487D46">
        <w:trPr>
          <w:cantSplit/>
        </w:trPr>
        <w:tc>
          <w:tcPr>
            <w:tcW w:w="2700" w:type="dxa"/>
            <w:vMerge/>
            <w:tcBorders>
              <w:top w:val="single" w:sz="6" w:space="0" w:color="000000"/>
              <w:left w:val="single" w:sz="6" w:space="0" w:color="000000"/>
              <w:bottom w:val="nil"/>
              <w:right w:val="nil"/>
            </w:tcBorders>
          </w:tcPr>
          <w:p w14:paraId="34AF8F6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4E1D17B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D22C0C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Consent</w:t>
            </w:r>
          </w:p>
        </w:tc>
        <w:tc>
          <w:tcPr>
            <w:tcW w:w="1800" w:type="dxa"/>
            <w:tcBorders>
              <w:top w:val="single" w:sz="6" w:space="0" w:color="000000"/>
              <w:left w:val="single" w:sz="6" w:space="0" w:color="000000"/>
              <w:bottom w:val="nil"/>
              <w:right w:val="single" w:sz="6" w:space="0" w:color="000000"/>
            </w:tcBorders>
          </w:tcPr>
          <w:p w14:paraId="4949BC0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9.15</w:t>
            </w:r>
          </w:p>
        </w:tc>
      </w:tr>
      <w:tr w:rsidR="0067704F" w:rsidRPr="0067704F" w14:paraId="39214C98" w14:textId="77777777" w:rsidTr="00487D46">
        <w:trPr>
          <w:cantSplit/>
        </w:trPr>
        <w:tc>
          <w:tcPr>
            <w:tcW w:w="2700" w:type="dxa"/>
            <w:vMerge/>
            <w:tcBorders>
              <w:top w:val="single" w:sz="6" w:space="0" w:color="000000"/>
              <w:left w:val="single" w:sz="6" w:space="0" w:color="000000"/>
              <w:bottom w:val="nil"/>
              <w:right w:val="nil"/>
            </w:tcBorders>
          </w:tcPr>
          <w:p w14:paraId="6016828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5A99ABC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545F3F5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Exigent Circumstances</w:t>
            </w:r>
          </w:p>
        </w:tc>
        <w:tc>
          <w:tcPr>
            <w:tcW w:w="1800" w:type="dxa"/>
            <w:tcBorders>
              <w:top w:val="single" w:sz="6" w:space="0" w:color="000000"/>
              <w:left w:val="single" w:sz="6" w:space="0" w:color="000000"/>
              <w:bottom w:val="nil"/>
              <w:right w:val="single" w:sz="6" w:space="0" w:color="000000"/>
            </w:tcBorders>
          </w:tcPr>
          <w:p w14:paraId="650CDA5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9.16</w:t>
            </w:r>
          </w:p>
        </w:tc>
      </w:tr>
      <w:tr w:rsidR="0067704F" w:rsidRPr="0067704F" w14:paraId="3838E2AF" w14:textId="77777777" w:rsidTr="00487D46">
        <w:trPr>
          <w:cantSplit/>
        </w:trPr>
        <w:tc>
          <w:tcPr>
            <w:tcW w:w="2700" w:type="dxa"/>
            <w:vMerge/>
            <w:tcBorders>
              <w:top w:val="single" w:sz="6" w:space="0" w:color="000000"/>
              <w:left w:val="single" w:sz="6" w:space="0" w:color="000000"/>
              <w:bottom w:val="nil"/>
              <w:right w:val="nil"/>
            </w:tcBorders>
          </w:tcPr>
          <w:p w14:paraId="4D8428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6221FCE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CF04C1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Emergency Aid</w:t>
            </w:r>
          </w:p>
        </w:tc>
        <w:tc>
          <w:tcPr>
            <w:tcW w:w="1800" w:type="dxa"/>
            <w:tcBorders>
              <w:top w:val="single" w:sz="6" w:space="0" w:color="000000"/>
              <w:left w:val="single" w:sz="6" w:space="0" w:color="000000"/>
              <w:bottom w:val="nil"/>
              <w:right w:val="single" w:sz="6" w:space="0" w:color="000000"/>
            </w:tcBorders>
          </w:tcPr>
          <w:p w14:paraId="39A2DE5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w:t>
            </w:r>
          </w:p>
        </w:tc>
      </w:tr>
      <w:tr w:rsidR="0067704F" w:rsidRPr="0067704F" w14:paraId="33535B3E" w14:textId="77777777" w:rsidTr="00487D46">
        <w:trPr>
          <w:cantSplit/>
        </w:trPr>
        <w:tc>
          <w:tcPr>
            <w:tcW w:w="2700" w:type="dxa"/>
            <w:vMerge/>
            <w:tcBorders>
              <w:top w:val="single" w:sz="6" w:space="0" w:color="000000"/>
              <w:left w:val="single" w:sz="6" w:space="0" w:color="000000"/>
              <w:bottom w:val="nil"/>
              <w:right w:val="nil"/>
            </w:tcBorders>
          </w:tcPr>
          <w:p w14:paraId="795D320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0756452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13A81C5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9.17A</w:t>
            </w:r>
          </w:p>
        </w:tc>
      </w:tr>
      <w:tr w:rsidR="0067704F" w:rsidRPr="0067704F" w14:paraId="66524B6C"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FE0311E"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76C90C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Property</w:t>
            </w:r>
          </w:p>
        </w:tc>
        <w:tc>
          <w:tcPr>
            <w:tcW w:w="4860" w:type="dxa"/>
            <w:gridSpan w:val="2"/>
            <w:tcBorders>
              <w:top w:val="single" w:sz="6" w:space="0" w:color="000000"/>
              <w:left w:val="single" w:sz="6" w:space="0" w:color="000000"/>
              <w:bottom w:val="nil"/>
              <w:right w:val="nil"/>
            </w:tcBorders>
          </w:tcPr>
          <w:p w14:paraId="19EB212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Generally</w:t>
            </w:r>
          </w:p>
        </w:tc>
        <w:tc>
          <w:tcPr>
            <w:tcW w:w="1800" w:type="dxa"/>
            <w:tcBorders>
              <w:top w:val="single" w:sz="6" w:space="0" w:color="000000"/>
              <w:left w:val="single" w:sz="6" w:space="0" w:color="000000"/>
              <w:bottom w:val="nil"/>
              <w:right w:val="single" w:sz="6" w:space="0" w:color="000000"/>
            </w:tcBorders>
          </w:tcPr>
          <w:p w14:paraId="6C647E6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9.18</w:t>
            </w:r>
          </w:p>
        </w:tc>
      </w:tr>
      <w:tr w:rsidR="0067704F" w:rsidRPr="0067704F" w14:paraId="37D83F08" w14:textId="77777777" w:rsidTr="00487D46">
        <w:trPr>
          <w:cantSplit/>
        </w:trPr>
        <w:tc>
          <w:tcPr>
            <w:tcW w:w="2700" w:type="dxa"/>
            <w:vMerge/>
            <w:tcBorders>
              <w:top w:val="single" w:sz="6" w:space="0" w:color="000000"/>
              <w:left w:val="single" w:sz="6" w:space="0" w:color="000000"/>
              <w:bottom w:val="nil"/>
              <w:right w:val="nil"/>
            </w:tcBorders>
          </w:tcPr>
          <w:p w14:paraId="7E2460F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54A827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52057E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9.19</w:t>
            </w:r>
          </w:p>
        </w:tc>
      </w:tr>
      <w:tr w:rsidR="0067704F" w:rsidRPr="0067704F" w14:paraId="49EAA590"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7DF6ED7E"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50207F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Person</w:t>
            </w:r>
          </w:p>
        </w:tc>
        <w:tc>
          <w:tcPr>
            <w:tcW w:w="4860" w:type="dxa"/>
            <w:gridSpan w:val="2"/>
            <w:tcBorders>
              <w:top w:val="single" w:sz="6" w:space="0" w:color="000000"/>
              <w:left w:val="single" w:sz="6" w:space="0" w:color="000000"/>
              <w:bottom w:val="nil"/>
              <w:right w:val="nil"/>
            </w:tcBorders>
          </w:tcPr>
          <w:p w14:paraId="39F7641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Generally</w:t>
            </w:r>
          </w:p>
        </w:tc>
        <w:tc>
          <w:tcPr>
            <w:tcW w:w="1800" w:type="dxa"/>
            <w:tcBorders>
              <w:top w:val="single" w:sz="6" w:space="0" w:color="000000"/>
              <w:left w:val="single" w:sz="6" w:space="0" w:color="000000"/>
              <w:bottom w:val="nil"/>
              <w:right w:val="single" w:sz="6" w:space="0" w:color="000000"/>
            </w:tcBorders>
          </w:tcPr>
          <w:p w14:paraId="62C8BC3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9.20</w:t>
            </w:r>
          </w:p>
        </w:tc>
      </w:tr>
      <w:tr w:rsidR="0067704F" w:rsidRPr="0067704F" w14:paraId="136E52C7" w14:textId="77777777" w:rsidTr="00487D46">
        <w:trPr>
          <w:cantSplit/>
        </w:trPr>
        <w:tc>
          <w:tcPr>
            <w:tcW w:w="2700" w:type="dxa"/>
            <w:vMerge/>
            <w:tcBorders>
              <w:top w:val="single" w:sz="6" w:space="0" w:color="000000"/>
              <w:left w:val="single" w:sz="6" w:space="0" w:color="000000"/>
              <w:bottom w:val="nil"/>
              <w:right w:val="nil"/>
            </w:tcBorders>
          </w:tcPr>
          <w:p w14:paraId="49DE55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71881D4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i/>
                <w:iCs/>
                <w:sz w:val="24"/>
                <w:szCs w:val="24"/>
              </w:rPr>
            </w:pPr>
            <w:r w:rsidRPr="0067704F">
              <w:rPr>
                <w:rFonts w:ascii="Times New Roman" w:hAnsi="Times New Roman" w:cs="Times New Roman"/>
                <w:sz w:val="24"/>
                <w:szCs w:val="24"/>
              </w:rPr>
              <w:t xml:space="preserve">Exception to Warrant Requirement – </w:t>
            </w:r>
          </w:p>
          <w:p w14:paraId="0DD7856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i/>
                <w:iCs/>
                <w:sz w:val="24"/>
                <w:szCs w:val="24"/>
              </w:rPr>
              <w:t>Terry v. Ohio</w:t>
            </w:r>
          </w:p>
        </w:tc>
        <w:tc>
          <w:tcPr>
            <w:tcW w:w="1800" w:type="dxa"/>
            <w:tcBorders>
              <w:top w:val="single" w:sz="6" w:space="0" w:color="000000"/>
              <w:left w:val="single" w:sz="6" w:space="0" w:color="000000"/>
              <w:bottom w:val="nil"/>
              <w:right w:val="single" w:sz="6" w:space="0" w:color="000000"/>
            </w:tcBorders>
          </w:tcPr>
          <w:p w14:paraId="2024C5C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9.21 (stop)</w:t>
            </w:r>
          </w:p>
          <w:p w14:paraId="3DC3966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9.22 (frisk)</w:t>
            </w:r>
          </w:p>
        </w:tc>
      </w:tr>
      <w:tr w:rsidR="0067704F" w:rsidRPr="0067704F" w14:paraId="173E02A7" w14:textId="77777777" w:rsidTr="00487D46">
        <w:trPr>
          <w:cantSplit/>
        </w:trPr>
        <w:tc>
          <w:tcPr>
            <w:tcW w:w="2700" w:type="dxa"/>
            <w:vMerge/>
            <w:tcBorders>
              <w:top w:val="single" w:sz="6" w:space="0" w:color="000000"/>
              <w:left w:val="single" w:sz="6" w:space="0" w:color="000000"/>
              <w:bottom w:val="nil"/>
              <w:right w:val="nil"/>
            </w:tcBorders>
          </w:tcPr>
          <w:p w14:paraId="0A6A4FD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B85EA1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Probable Cause Arrest</w:t>
            </w:r>
          </w:p>
        </w:tc>
        <w:tc>
          <w:tcPr>
            <w:tcW w:w="1800" w:type="dxa"/>
            <w:tcBorders>
              <w:top w:val="single" w:sz="6" w:space="0" w:color="000000"/>
              <w:left w:val="single" w:sz="6" w:space="0" w:color="000000"/>
              <w:bottom w:val="nil"/>
              <w:right w:val="single" w:sz="6" w:space="0" w:color="000000"/>
            </w:tcBorders>
          </w:tcPr>
          <w:p w14:paraId="4B73097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9.23</w:t>
            </w:r>
          </w:p>
        </w:tc>
      </w:tr>
      <w:tr w:rsidR="0067704F" w:rsidRPr="0067704F" w14:paraId="3DD6307D" w14:textId="77777777" w:rsidTr="00487D46">
        <w:trPr>
          <w:cantSplit/>
        </w:trPr>
        <w:tc>
          <w:tcPr>
            <w:tcW w:w="2700" w:type="dxa"/>
            <w:vMerge/>
            <w:tcBorders>
              <w:top w:val="single" w:sz="6" w:space="0" w:color="000000"/>
              <w:left w:val="single" w:sz="6" w:space="0" w:color="000000"/>
              <w:bottom w:val="nil"/>
              <w:right w:val="nil"/>
            </w:tcBorders>
          </w:tcPr>
          <w:p w14:paraId="40F888E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9A8BD4B"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7972A2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9.24</w:t>
            </w:r>
          </w:p>
        </w:tc>
      </w:tr>
      <w:tr w:rsidR="0067704F" w:rsidRPr="0067704F" w14:paraId="14EB8B59" w14:textId="77777777" w:rsidTr="00487D46">
        <w:trPr>
          <w:cantSplit/>
        </w:trPr>
        <w:tc>
          <w:tcPr>
            <w:tcW w:w="2700" w:type="dxa"/>
            <w:vMerge/>
            <w:tcBorders>
              <w:top w:val="single" w:sz="6" w:space="0" w:color="000000"/>
              <w:left w:val="single" w:sz="6" w:space="0" w:color="000000"/>
              <w:bottom w:val="nil"/>
              <w:right w:val="nil"/>
            </w:tcBorders>
          </w:tcPr>
          <w:p w14:paraId="5D0F0D3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579EC3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Excessive Force</w:t>
            </w:r>
          </w:p>
        </w:tc>
        <w:tc>
          <w:tcPr>
            <w:tcW w:w="1800" w:type="dxa"/>
            <w:tcBorders>
              <w:top w:val="single" w:sz="6" w:space="0" w:color="000000"/>
              <w:left w:val="single" w:sz="6" w:space="0" w:color="000000"/>
              <w:bottom w:val="nil"/>
              <w:right w:val="single" w:sz="6" w:space="0" w:color="000000"/>
            </w:tcBorders>
          </w:tcPr>
          <w:p w14:paraId="5167C48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9.25</w:t>
            </w:r>
          </w:p>
        </w:tc>
      </w:tr>
      <w:tr w:rsidR="0067704F" w:rsidRPr="0067704F" w14:paraId="1347F582"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2B4D8510"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Eighth Amendment</w:t>
            </w:r>
          </w:p>
        </w:tc>
        <w:tc>
          <w:tcPr>
            <w:tcW w:w="4860" w:type="dxa"/>
            <w:gridSpan w:val="2"/>
            <w:tcBorders>
              <w:top w:val="single" w:sz="6" w:space="0" w:color="000000"/>
              <w:left w:val="single" w:sz="6" w:space="0" w:color="000000"/>
              <w:bottom w:val="nil"/>
              <w:right w:val="nil"/>
            </w:tcBorders>
          </w:tcPr>
          <w:p w14:paraId="57F685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27661B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w:t>
            </w:r>
          </w:p>
        </w:tc>
      </w:tr>
      <w:tr w:rsidR="0067704F" w:rsidRPr="0067704F" w14:paraId="39F4813B" w14:textId="77777777" w:rsidTr="00487D46">
        <w:trPr>
          <w:cantSplit/>
          <w:trHeight w:val="453"/>
        </w:trPr>
        <w:tc>
          <w:tcPr>
            <w:tcW w:w="2700" w:type="dxa"/>
            <w:vMerge/>
            <w:tcBorders>
              <w:top w:val="single" w:sz="6" w:space="0" w:color="000000"/>
              <w:left w:val="single" w:sz="6" w:space="0" w:color="000000"/>
              <w:bottom w:val="nil"/>
              <w:right w:val="nil"/>
            </w:tcBorders>
          </w:tcPr>
          <w:p w14:paraId="4AA2383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C548F5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630B0CB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9.26A</w:t>
            </w:r>
          </w:p>
        </w:tc>
      </w:tr>
      <w:tr w:rsidR="0067704F" w:rsidRPr="0067704F" w14:paraId="713FD973" w14:textId="77777777" w:rsidTr="00487D46">
        <w:trPr>
          <w:cantSplit/>
          <w:trHeight w:val="766"/>
        </w:trPr>
        <w:tc>
          <w:tcPr>
            <w:tcW w:w="2700" w:type="dxa"/>
            <w:vMerge/>
            <w:tcBorders>
              <w:top w:val="single" w:sz="6" w:space="0" w:color="000000"/>
              <w:left w:val="single" w:sz="6" w:space="0" w:color="000000"/>
              <w:bottom w:val="nil"/>
              <w:right w:val="nil"/>
            </w:tcBorders>
          </w:tcPr>
          <w:p w14:paraId="740E94B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E6C19F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re Conditions of Confinement/Medical Care</w:t>
            </w:r>
            <w:r w:rsidRPr="0067704F">
              <w:rPr>
                <w:rFonts w:ascii="Times New Roman" w:hAnsi="Times New Roman" w:cs="Times New Roman"/>
                <w:sz w:val="24"/>
                <w:szCs w:val="24"/>
              </w:rPr>
              <w:tab/>
            </w:r>
          </w:p>
        </w:tc>
        <w:tc>
          <w:tcPr>
            <w:tcW w:w="1800" w:type="dxa"/>
            <w:tcBorders>
              <w:top w:val="single" w:sz="6" w:space="0" w:color="000000"/>
              <w:left w:val="single" w:sz="6" w:space="0" w:color="000000"/>
              <w:bottom w:val="nil"/>
              <w:right w:val="single" w:sz="6" w:space="0" w:color="000000"/>
            </w:tcBorders>
          </w:tcPr>
          <w:p w14:paraId="442D826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9.27</w:t>
            </w:r>
          </w:p>
          <w:p w14:paraId="20F1A47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r>
      <w:tr w:rsidR="0067704F" w:rsidRPr="0067704F" w14:paraId="09752DDD" w14:textId="77777777" w:rsidTr="00487D46">
        <w:trPr>
          <w:cantSplit/>
          <w:trHeight w:val="516"/>
        </w:trPr>
        <w:tc>
          <w:tcPr>
            <w:tcW w:w="2700" w:type="dxa"/>
            <w:vMerge/>
            <w:tcBorders>
              <w:top w:val="single" w:sz="6" w:space="0" w:color="000000"/>
              <w:left w:val="single" w:sz="6" w:space="0" w:color="000000"/>
              <w:bottom w:val="single" w:sz="6" w:space="0" w:color="000000"/>
              <w:right w:val="nil"/>
            </w:tcBorders>
          </w:tcPr>
          <w:p w14:paraId="3985F7A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637AAA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73F141C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9.28</w:t>
            </w:r>
          </w:p>
        </w:tc>
      </w:tr>
      <w:tr w:rsidR="0067704F" w:rsidRPr="0067704F" w14:paraId="09882AB1" w14:textId="77777777" w:rsidTr="00487D46">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6F6D1E2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Fourteenth Amendment</w:t>
            </w:r>
          </w:p>
        </w:tc>
        <w:tc>
          <w:tcPr>
            <w:tcW w:w="4860" w:type="dxa"/>
            <w:gridSpan w:val="2"/>
            <w:tcBorders>
              <w:top w:val="single" w:sz="6" w:space="0" w:color="000000"/>
              <w:left w:val="single" w:sz="6" w:space="0" w:color="000000"/>
              <w:bottom w:val="nil"/>
              <w:right w:val="nil"/>
            </w:tcBorders>
          </w:tcPr>
          <w:p w14:paraId="482B623D"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4364997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9.29</w:t>
            </w:r>
          </w:p>
          <w:p w14:paraId="05618717" w14:textId="77777777" w:rsidR="0067704F" w:rsidRPr="0067704F" w:rsidRDefault="0067704F" w:rsidP="0067704F">
            <w:pPr>
              <w:autoSpaceDE w:val="0"/>
              <w:autoSpaceDN w:val="0"/>
              <w:adjustRightInd w:val="0"/>
              <w:spacing w:after="54" w:line="240" w:lineRule="auto"/>
              <w:rPr>
                <w:rFonts w:ascii="Times New Roman" w:hAnsi="Times New Roman" w:cs="Times New Roman"/>
                <w:sz w:val="24"/>
                <w:szCs w:val="24"/>
              </w:rPr>
            </w:pPr>
          </w:p>
        </w:tc>
      </w:tr>
      <w:tr w:rsidR="0067704F" w:rsidRPr="0067704F" w14:paraId="11C4E356" w14:textId="77777777" w:rsidTr="00487D46">
        <w:trPr>
          <w:cantSplit/>
          <w:trHeight w:val="766"/>
        </w:trPr>
        <w:tc>
          <w:tcPr>
            <w:tcW w:w="2700" w:type="dxa"/>
            <w:vMerge/>
            <w:tcBorders>
              <w:top w:val="single" w:sz="6" w:space="0" w:color="000000"/>
              <w:left w:val="single" w:sz="6" w:space="0" w:color="000000"/>
              <w:bottom w:val="nil"/>
              <w:right w:val="nil"/>
            </w:tcBorders>
          </w:tcPr>
          <w:p w14:paraId="47DA77A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32D3A14"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1919E723"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9.30</w:t>
            </w:r>
          </w:p>
        </w:tc>
      </w:tr>
      <w:tr w:rsidR="0067704F" w:rsidRPr="0067704F" w14:paraId="4D30971C" w14:textId="77777777" w:rsidTr="00487D46">
        <w:trPr>
          <w:cantSplit/>
          <w:trHeight w:val="462"/>
        </w:trPr>
        <w:tc>
          <w:tcPr>
            <w:tcW w:w="2700" w:type="dxa"/>
            <w:vMerge/>
            <w:tcBorders>
              <w:top w:val="single" w:sz="6" w:space="0" w:color="000000"/>
              <w:left w:val="single" w:sz="6" w:space="0" w:color="000000"/>
              <w:bottom w:val="nil"/>
              <w:right w:val="nil"/>
            </w:tcBorders>
          </w:tcPr>
          <w:p w14:paraId="495227D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FD05061"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25A8863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9.31</w:t>
            </w:r>
          </w:p>
        </w:tc>
      </w:tr>
      <w:tr w:rsidR="0067704F" w:rsidRPr="0067704F" w14:paraId="65878266" w14:textId="77777777" w:rsidTr="00487D46">
        <w:trPr>
          <w:cantSplit/>
          <w:trHeight w:val="525"/>
        </w:trPr>
        <w:tc>
          <w:tcPr>
            <w:tcW w:w="2700" w:type="dxa"/>
            <w:vMerge/>
            <w:tcBorders>
              <w:top w:val="single" w:sz="6" w:space="0" w:color="000000"/>
              <w:left w:val="single" w:sz="6" w:space="0" w:color="000000"/>
              <w:bottom w:val="nil"/>
              <w:right w:val="nil"/>
            </w:tcBorders>
          </w:tcPr>
          <w:p w14:paraId="5C21E57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B6BD27B"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1276758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9.32</w:t>
            </w:r>
          </w:p>
        </w:tc>
      </w:tr>
      <w:tr w:rsidR="0067704F" w:rsidRPr="0067704F" w14:paraId="3338DE45" w14:textId="77777777" w:rsidTr="00487D46">
        <w:trPr>
          <w:cantSplit/>
          <w:trHeight w:val="525"/>
        </w:trPr>
        <w:tc>
          <w:tcPr>
            <w:tcW w:w="2700" w:type="dxa"/>
            <w:vMerge/>
            <w:tcBorders>
              <w:top w:val="single" w:sz="6" w:space="0" w:color="000000"/>
              <w:left w:val="single" w:sz="6" w:space="0" w:color="000000"/>
              <w:bottom w:val="nil"/>
              <w:right w:val="nil"/>
            </w:tcBorders>
          </w:tcPr>
          <w:p w14:paraId="1AA2726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50B89B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06B0444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w:t>
            </w:r>
          </w:p>
        </w:tc>
      </w:tr>
      <w:tr w:rsidR="0067704F" w:rsidRPr="0067704F" w14:paraId="69FF541F" w14:textId="77777777" w:rsidTr="00487D46">
        <w:trPr>
          <w:cantSplit/>
          <w:trHeight w:val="525"/>
        </w:trPr>
        <w:tc>
          <w:tcPr>
            <w:tcW w:w="2700" w:type="dxa"/>
            <w:vMerge/>
            <w:tcBorders>
              <w:top w:val="single" w:sz="6" w:space="0" w:color="000000"/>
              <w:left w:val="single" w:sz="6" w:space="0" w:color="000000"/>
              <w:bottom w:val="nil"/>
              <w:right w:val="nil"/>
            </w:tcBorders>
          </w:tcPr>
          <w:p w14:paraId="27B3BB8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352F232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6C6496F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9.33A</w:t>
            </w:r>
          </w:p>
        </w:tc>
      </w:tr>
      <w:tr w:rsidR="0067704F" w:rsidRPr="0067704F" w14:paraId="34F540B6" w14:textId="77777777" w:rsidTr="00487D46">
        <w:trPr>
          <w:cantSplit/>
          <w:trHeight w:val="525"/>
        </w:trPr>
        <w:tc>
          <w:tcPr>
            <w:tcW w:w="2700" w:type="dxa"/>
            <w:vMerge/>
            <w:tcBorders>
              <w:top w:val="single" w:sz="6" w:space="0" w:color="000000"/>
              <w:left w:val="single" w:sz="6" w:space="0" w:color="000000"/>
              <w:bottom w:val="single" w:sz="6" w:space="0" w:color="000000"/>
              <w:right w:val="nil"/>
            </w:tcBorders>
          </w:tcPr>
          <w:p w14:paraId="034B088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7091C4C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2337F66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9.33B</w:t>
            </w:r>
          </w:p>
        </w:tc>
      </w:tr>
    </w:tbl>
    <w:p w14:paraId="3FC057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0F4B9C6"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Person Subject to § 1983 Liability</w:t>
      </w:r>
    </w:p>
    <w:p w14:paraId="5787AF2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B575D4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It is well settled that a “person” subject to liability can be an individual sued in an individual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Devereaux v. Abbey</w:t>
      </w:r>
      <w:r w:rsidRPr="0067704F">
        <w:rPr>
          <w:rFonts w:ascii="Times New Roman" w:hAnsi="Times New Roman" w:cs="Times New Roman"/>
          <w:sz w:val="24"/>
          <w:szCs w:val="24"/>
        </w:rPr>
        <w:t>, 263 F.3d 1070, 1074 (9th Cir. 2001) (</w:t>
      </w:r>
      <w:proofErr w:type="spellStart"/>
      <w:r w:rsidRPr="0067704F">
        <w:rPr>
          <w:rFonts w:ascii="Times New Roman" w:hAnsi="Times New Roman" w:cs="Times New Roman"/>
          <w:sz w:val="24"/>
          <w:szCs w:val="24"/>
        </w:rPr>
        <w:t>en</w:t>
      </w:r>
      <w:proofErr w:type="spellEnd"/>
      <w:r w:rsidRPr="0067704F">
        <w:rPr>
          <w:rFonts w:ascii="Times New Roman" w:hAnsi="Times New Roman" w:cs="Times New Roman"/>
          <w:sz w:val="24"/>
          <w:szCs w:val="24"/>
        </w:rPr>
        <w:t xml:space="preserve"> banc)) or in an official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 xml:space="preserve">Hartmann v. Cal.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Corr. &amp; Rehab.</w:t>
      </w:r>
      <w:r w:rsidRPr="0067704F">
        <w:rPr>
          <w:rFonts w:ascii="Times New Roman" w:hAnsi="Times New Roman" w:cs="Times New Roman"/>
          <w:sz w:val="24"/>
          <w:szCs w:val="24"/>
        </w:rPr>
        <w:t>, 707 F.3d 1114, 1127 (9th Cir. 2013)).  A “person” subject to liability can also be a local governing body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Waggy v. Spokane County</w:t>
      </w:r>
      <w:r w:rsidRPr="0067704F">
        <w:rPr>
          <w:rFonts w:ascii="Times New Roman" w:hAnsi="Times New Roman" w:cs="Times New Roman"/>
          <w:sz w:val="24"/>
          <w:szCs w:val="24"/>
        </w:rPr>
        <w:t xml:space="preserve">, 594 F.3d 707, 713 (9th Cir. 2010)). </w:t>
      </w:r>
    </w:p>
    <w:p w14:paraId="31A2857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2E83A0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Local Governing Body Liability</w:t>
      </w:r>
    </w:p>
    <w:p w14:paraId="6206A6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342806E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 local governing body is not liable under § 1983 “unless action pursuant to official municipal policy of some nature caused a constitutional tort.”  </w:t>
      </w:r>
      <w:proofErr w:type="spellStart"/>
      <w:r w:rsidRPr="0067704F">
        <w:rPr>
          <w:rFonts w:ascii="Times New Roman" w:hAnsi="Times New Roman" w:cs="Times New Roman"/>
          <w:i/>
          <w:iCs/>
          <w:sz w:val="24"/>
          <w:szCs w:val="24"/>
        </w:rPr>
        <w:t>Monell</w:t>
      </w:r>
      <w:proofErr w:type="spellEnd"/>
      <w:r w:rsidRPr="0067704F">
        <w:rPr>
          <w:rFonts w:ascii="Times New Roman" w:hAnsi="Times New Roman" w:cs="Times New Roman"/>
          <w:i/>
          <w:iCs/>
          <w:sz w:val="24"/>
          <w:szCs w:val="24"/>
        </w:rPr>
        <w:t xml:space="preserve"> v.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Social Servs. of City of N.Y.</w:t>
      </w:r>
      <w:r w:rsidRPr="0067704F">
        <w:rPr>
          <w:rFonts w:ascii="Times New Roman" w:hAnsi="Times New Roman" w:cs="Times New Roman"/>
          <w:sz w:val="24"/>
          <w:szCs w:val="24"/>
        </w:rPr>
        <w:t xml:space="preserve">, 436 U.S. 658, 691 (1978).  </w:t>
      </w:r>
      <w:r w:rsidRPr="0067704F">
        <w:rPr>
          <w:rFonts w:ascii="Times New Roman" w:hAnsi="Times New Roman" w:cs="Times New Roman"/>
          <w:i/>
          <w:iCs/>
          <w:sz w:val="24"/>
          <w:szCs w:val="24"/>
        </w:rPr>
        <w:t xml:space="preserve">But see </w:t>
      </w:r>
      <w:r w:rsidRPr="0067704F">
        <w:rPr>
          <w:rFonts w:ascii="Times New Roman" w:hAnsi="Times New Roman" w:cs="Times New Roman"/>
          <w:sz w:val="24"/>
          <w:szCs w:val="24"/>
        </w:rPr>
        <w:t xml:space="preserve">Instruction 9.7 (Section 1983 Claim Against Local Governing Body Defendants Based on Ratification—Elements and Burden of Proof) (addressing ratification and causation).  “[A] municipality cannot be held liable under §1983 on a </w:t>
      </w:r>
      <w:proofErr w:type="spellStart"/>
      <w:r w:rsidRPr="0067704F">
        <w:rPr>
          <w:rFonts w:ascii="Times New Roman" w:hAnsi="Times New Roman" w:cs="Times New Roman"/>
          <w:sz w:val="24"/>
          <w:szCs w:val="24"/>
        </w:rPr>
        <w:t>respondeat</w:t>
      </w:r>
      <w:proofErr w:type="spellEnd"/>
      <w:r w:rsidRPr="0067704F">
        <w:rPr>
          <w:rFonts w:ascii="Times New Roman" w:hAnsi="Times New Roman" w:cs="Times New Roman"/>
          <w:sz w:val="24"/>
          <w:szCs w:val="24"/>
        </w:rPr>
        <w:t xml:space="preserve"> superior theory.”  </w:t>
      </w:r>
      <w:proofErr w:type="spellStart"/>
      <w:r w:rsidRPr="0067704F">
        <w:rPr>
          <w:rFonts w:ascii="Times New Roman" w:hAnsi="Times New Roman" w:cs="Times New Roman"/>
          <w:i/>
          <w:iCs/>
          <w:sz w:val="24"/>
          <w:szCs w:val="24"/>
        </w:rPr>
        <w:t>Monell</w:t>
      </w:r>
      <w:proofErr w:type="spellEnd"/>
      <w:r w:rsidRPr="0067704F">
        <w:rPr>
          <w:rFonts w:ascii="Times New Roman" w:hAnsi="Times New Roman" w:cs="Times New Roman"/>
          <w:sz w:val="24"/>
          <w:szCs w:val="24"/>
        </w:rPr>
        <w:t xml:space="preserve">, 436 U.S. at 691.  </w:t>
      </w:r>
    </w:p>
    <w:p w14:paraId="7E9CFD8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7B7977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An institutional defendant, such as a school district or municipality, is not entitled to qualified immunity.  </w:t>
      </w:r>
      <w:r w:rsidRPr="0067704F">
        <w:rPr>
          <w:rFonts w:ascii="Times New Roman" w:hAnsi="Times New Roman" w:cs="Times New Roman"/>
          <w:i/>
          <w:iCs/>
          <w:sz w:val="24"/>
          <w:szCs w:val="24"/>
        </w:rPr>
        <w:t>See Owen v. Independence</w:t>
      </w:r>
      <w:r w:rsidRPr="0067704F">
        <w:rPr>
          <w:rFonts w:ascii="Times New Roman" w:hAnsi="Times New Roman" w:cs="Times New Roman"/>
          <w:sz w:val="24"/>
          <w:szCs w:val="24"/>
        </w:rPr>
        <w:t>, 445 U.S. 622, 638 (1980) (holding that “municipality may not assert the good faith of its officers or agents as a defense to liability under § 1983”).</w:t>
      </w:r>
    </w:p>
    <w:p w14:paraId="093B4FB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6993620" w14:textId="643A7D62" w:rsidR="002423F0"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‘official policy’ requirement ‘was intended to distinguish acts of the </w:t>
      </w:r>
      <w:r w:rsidRPr="0067704F">
        <w:rPr>
          <w:rFonts w:ascii="Times New Roman" w:hAnsi="Times New Roman" w:cs="Times New Roman"/>
          <w:i/>
          <w:iCs/>
          <w:sz w:val="24"/>
          <w:szCs w:val="24"/>
        </w:rPr>
        <w:t>municipality</w:t>
      </w:r>
      <w:r w:rsidRPr="0067704F">
        <w:rPr>
          <w:rFonts w:ascii="Times New Roman" w:hAnsi="Times New Roman" w:cs="Times New Roman"/>
          <w:sz w:val="24"/>
          <w:szCs w:val="24"/>
        </w:rPr>
        <w:t xml:space="preserve"> from acts of </w:t>
      </w:r>
      <w:r w:rsidRPr="0067704F">
        <w:rPr>
          <w:rFonts w:ascii="Times New Roman" w:hAnsi="Times New Roman" w:cs="Times New Roman"/>
          <w:i/>
          <w:iCs/>
          <w:sz w:val="24"/>
          <w:szCs w:val="24"/>
        </w:rPr>
        <w:t>employees</w:t>
      </w:r>
      <w:r w:rsidRPr="0067704F">
        <w:rPr>
          <w:rFonts w:ascii="Times New Roman" w:hAnsi="Times New Roman" w:cs="Times New Roman"/>
          <w:sz w:val="24"/>
          <w:szCs w:val="24"/>
        </w:rPr>
        <w:t xml:space="preserve"> of the municipality,’ and thereby make clear that municipal liability is limited to action for which the municipality is actually responsible.”  </w:t>
      </w:r>
      <w:proofErr w:type="spellStart"/>
      <w:r w:rsidRPr="0067704F">
        <w:rPr>
          <w:rFonts w:ascii="Times New Roman" w:hAnsi="Times New Roman" w:cs="Times New Roman"/>
          <w:i/>
          <w:iCs/>
          <w:sz w:val="24"/>
          <w:szCs w:val="24"/>
        </w:rPr>
        <w:t>Pembaur</w:t>
      </w:r>
      <w:proofErr w:type="spellEnd"/>
      <w:r w:rsidRPr="0067704F">
        <w:rPr>
          <w:rFonts w:ascii="Times New Roman" w:hAnsi="Times New Roman" w:cs="Times New Roman"/>
          <w:i/>
          <w:iCs/>
          <w:sz w:val="24"/>
          <w:szCs w:val="24"/>
        </w:rPr>
        <w:t xml:space="preserve"> v. City of Cincinnati, </w:t>
      </w:r>
      <w:r w:rsidRPr="0067704F">
        <w:rPr>
          <w:rFonts w:ascii="Times New Roman" w:hAnsi="Times New Roman" w:cs="Times New Roman"/>
          <w:sz w:val="24"/>
          <w:szCs w:val="24"/>
        </w:rPr>
        <w:t>475 U.S. 469, 479-80 (1986) (emphasis in original).  Because there are several ways to establish “</w:t>
      </w:r>
      <w:proofErr w:type="spellStart"/>
      <w:r w:rsidRPr="0067704F">
        <w:rPr>
          <w:rFonts w:ascii="Times New Roman" w:hAnsi="Times New Roman" w:cs="Times New Roman"/>
          <w:i/>
          <w:iCs/>
          <w:sz w:val="24"/>
          <w:szCs w:val="24"/>
        </w:rPr>
        <w:t>Monell</w:t>
      </w:r>
      <w:proofErr w:type="spellEnd"/>
      <w:r w:rsidRPr="0067704F">
        <w:rPr>
          <w:rFonts w:ascii="Times New Roman" w:hAnsi="Times New Roman" w:cs="Times New Roman"/>
          <w:sz w:val="24"/>
          <w:szCs w:val="24"/>
        </w:rPr>
        <w:t xml:space="preserve"> liability,” </w:t>
      </w:r>
      <w:r w:rsidRPr="0067704F">
        <w:rPr>
          <w:rFonts w:ascii="Times New Roman" w:hAnsi="Times New Roman" w:cs="Times New Roman"/>
          <w:i/>
          <w:iCs/>
          <w:sz w:val="24"/>
          <w:szCs w:val="24"/>
        </w:rPr>
        <w:t xml:space="preserve">see Christie v. </w:t>
      </w:r>
      <w:proofErr w:type="spellStart"/>
      <w:r w:rsidRPr="0067704F">
        <w:rPr>
          <w:rFonts w:ascii="Times New Roman" w:hAnsi="Times New Roman" w:cs="Times New Roman"/>
          <w:i/>
          <w:iCs/>
          <w:sz w:val="24"/>
          <w:szCs w:val="24"/>
        </w:rPr>
        <w:t>Iopa</w:t>
      </w:r>
      <w:proofErr w:type="spellEnd"/>
      <w:r w:rsidRPr="0067704F">
        <w:rPr>
          <w:rFonts w:ascii="Times New Roman" w:hAnsi="Times New Roman" w:cs="Times New Roman"/>
          <w:sz w:val="24"/>
          <w:szCs w:val="24"/>
        </w:rPr>
        <w:t>, 176 F.3d 1231, 1235 (9th Cir. 1999), the Committee also includes in this chapter separate elements instructions for several bases of such liability (Instructions 9.5, 9.6, 9.7, and 9.8).</w:t>
      </w:r>
    </w:p>
    <w:p w14:paraId="32E90805" w14:textId="30E5857A" w:rsidR="002423F0" w:rsidRDefault="002423F0" w:rsidP="0067704F">
      <w:pPr>
        <w:autoSpaceDE w:val="0"/>
        <w:autoSpaceDN w:val="0"/>
        <w:adjustRightInd w:val="0"/>
        <w:spacing w:after="0" w:line="240" w:lineRule="auto"/>
        <w:rPr>
          <w:rFonts w:ascii="Times New Roman" w:hAnsi="Times New Roman" w:cs="Times New Roman"/>
          <w:sz w:val="24"/>
          <w:szCs w:val="24"/>
        </w:rPr>
      </w:pPr>
    </w:p>
    <w:p w14:paraId="703E751B" w14:textId="271F7A35" w:rsidR="002423F0" w:rsidRDefault="002423F0" w:rsidP="0067704F">
      <w:pPr>
        <w:autoSpaceDE w:val="0"/>
        <w:autoSpaceDN w:val="0"/>
        <w:adjustRightInd w:val="0"/>
        <w:spacing w:after="0" w:line="240" w:lineRule="auto"/>
        <w:rPr>
          <w:rFonts w:ascii="Times New Roman" w:hAnsi="Times New Roman" w:cs="Times New Roman"/>
          <w:sz w:val="24"/>
          <w:szCs w:val="24"/>
        </w:rPr>
      </w:pPr>
    </w:p>
    <w:p w14:paraId="7D9FFE38" w14:textId="7DE8A8AB" w:rsidR="002423F0" w:rsidRDefault="002423F0" w:rsidP="0067704F">
      <w:pPr>
        <w:autoSpaceDE w:val="0"/>
        <w:autoSpaceDN w:val="0"/>
        <w:adjustRightInd w:val="0"/>
        <w:spacing w:after="0" w:line="240" w:lineRule="auto"/>
        <w:rPr>
          <w:rFonts w:ascii="Times New Roman" w:hAnsi="Times New Roman" w:cs="Times New Roman"/>
          <w:sz w:val="24"/>
          <w:szCs w:val="24"/>
        </w:rPr>
      </w:pPr>
    </w:p>
    <w:p w14:paraId="619BB1EA" w14:textId="77777777" w:rsidR="002423F0" w:rsidRPr="0067704F" w:rsidRDefault="002423F0" w:rsidP="0067704F">
      <w:pPr>
        <w:autoSpaceDE w:val="0"/>
        <w:autoSpaceDN w:val="0"/>
        <w:adjustRightInd w:val="0"/>
        <w:spacing w:after="0" w:line="240" w:lineRule="auto"/>
        <w:rPr>
          <w:rFonts w:ascii="Times New Roman" w:hAnsi="Times New Roman" w:cs="Times New Roman"/>
          <w:sz w:val="24"/>
          <w:szCs w:val="24"/>
        </w:rPr>
      </w:pPr>
    </w:p>
    <w:p w14:paraId="30576BC3" w14:textId="77777777" w:rsidR="0067704F" w:rsidRPr="0067704F" w:rsidRDefault="0067704F" w:rsidP="0067704F">
      <w:pPr>
        <w:spacing w:after="0" w:line="240" w:lineRule="auto"/>
        <w:rPr>
          <w:rFonts w:ascii="Times New Roman" w:hAnsi="Times New Roman" w:cs="Times New Roman"/>
          <w:b/>
          <w:bCs/>
          <w:sz w:val="24"/>
          <w:szCs w:val="24"/>
        </w:rPr>
      </w:pPr>
      <w:r w:rsidRPr="0067704F">
        <w:rPr>
          <w:rFonts w:ascii="Times New Roman" w:hAnsi="Times New Roman" w:cs="Times New Roman"/>
          <w:b/>
          <w:bCs/>
          <w:sz w:val="24"/>
          <w:szCs w:val="24"/>
        </w:rPr>
        <w:lastRenderedPageBreak/>
        <w:t>Good-Faith Defense</w:t>
      </w:r>
    </w:p>
    <w:p w14:paraId="24CDDDAD" w14:textId="77777777" w:rsidR="0067704F" w:rsidRPr="0067704F" w:rsidRDefault="0067704F" w:rsidP="0067704F">
      <w:pPr>
        <w:spacing w:after="0" w:line="240" w:lineRule="auto"/>
        <w:rPr>
          <w:rFonts w:ascii="Times New Roman" w:hAnsi="Times New Roman" w:cs="Times New Roman"/>
          <w:sz w:val="24"/>
          <w:szCs w:val="24"/>
        </w:rPr>
      </w:pPr>
    </w:p>
    <w:p w14:paraId="08BDF46B" w14:textId="3973CFDA" w:rsidR="0067704F" w:rsidRPr="0067704F" w:rsidRDefault="0067704F" w:rsidP="0067704F">
      <w:pPr>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 xml:space="preserve">Both private parties and local governments “may invoke an affirmative defense of good faith to retrospective monetary liability under 42 U.S.C. § 1983, where they acted in direct reliance on then-binding Supreme Court precedent and presumptively-valid state law.” </w:t>
      </w:r>
      <w:r w:rsidRPr="00D80FFC">
        <w:rPr>
          <w:rFonts w:ascii="Times New Roman" w:hAnsi="Times New Roman" w:cs="Times New Roman"/>
          <w:i/>
          <w:iCs/>
          <w:sz w:val="24"/>
          <w:szCs w:val="24"/>
        </w:rPr>
        <w:t>Danielson v. Inslee</w:t>
      </w:r>
      <w:r w:rsidRPr="0067704F">
        <w:rPr>
          <w:rFonts w:ascii="Times New Roman" w:hAnsi="Times New Roman" w:cs="Times New Roman"/>
          <w:sz w:val="24"/>
          <w:szCs w:val="24"/>
        </w:rPr>
        <w:t xml:space="preserve">, 945 F.3d 1096, 1097 (9th Cir. 2019) (holding that public-sector unions could rely on good-faith defense to avoid liability for unlawful fees collected when binding precedent authorized such fees); </w:t>
      </w:r>
      <w:r w:rsidRPr="00D80FFC">
        <w:rPr>
          <w:rFonts w:ascii="Times New Roman" w:hAnsi="Times New Roman" w:cs="Times New Roman"/>
          <w:i/>
          <w:iCs/>
          <w:sz w:val="24"/>
          <w:szCs w:val="24"/>
        </w:rPr>
        <w:t xml:space="preserve">see also Allen v. Santa Clara </w:t>
      </w:r>
      <w:proofErr w:type="spellStart"/>
      <w:r w:rsidRPr="00D80FFC">
        <w:rPr>
          <w:rFonts w:ascii="Times New Roman" w:hAnsi="Times New Roman" w:cs="Times New Roman"/>
          <w:i/>
          <w:iCs/>
          <w:sz w:val="24"/>
          <w:szCs w:val="24"/>
        </w:rPr>
        <w:t>Cnty</w:t>
      </w:r>
      <w:proofErr w:type="spellEnd"/>
      <w:r w:rsidRPr="00D80FFC">
        <w:rPr>
          <w:rFonts w:ascii="Times New Roman" w:hAnsi="Times New Roman" w:cs="Times New Roman"/>
          <w:i/>
          <w:iCs/>
          <w:sz w:val="24"/>
          <w:szCs w:val="24"/>
        </w:rPr>
        <w:t xml:space="preserve">. Corr. Peace Officers </w:t>
      </w:r>
      <w:proofErr w:type="spellStart"/>
      <w:r w:rsidRPr="00D80FFC">
        <w:rPr>
          <w:rFonts w:ascii="Times New Roman" w:hAnsi="Times New Roman" w:cs="Times New Roman"/>
          <w:i/>
          <w:iCs/>
          <w:sz w:val="24"/>
          <w:szCs w:val="24"/>
        </w:rPr>
        <w:t>Ass'n</w:t>
      </w:r>
      <w:proofErr w:type="spellEnd"/>
      <w:r w:rsidRPr="0067704F">
        <w:rPr>
          <w:rFonts w:ascii="Times New Roman" w:hAnsi="Times New Roman" w:cs="Times New Roman"/>
          <w:sz w:val="24"/>
          <w:szCs w:val="24"/>
        </w:rPr>
        <w:t>, 38 F.4th 68</w:t>
      </w:r>
      <w:r w:rsidR="00D80FFC">
        <w:rPr>
          <w:rFonts w:ascii="Times New Roman" w:hAnsi="Times New Roman" w:cs="Times New Roman"/>
          <w:sz w:val="24"/>
          <w:szCs w:val="24"/>
        </w:rPr>
        <w:t xml:space="preserve"> </w:t>
      </w:r>
      <w:r w:rsidRPr="0067704F">
        <w:rPr>
          <w:rFonts w:ascii="Times New Roman" w:hAnsi="Times New Roman" w:cs="Times New Roman"/>
          <w:sz w:val="24"/>
          <w:szCs w:val="24"/>
        </w:rPr>
        <w:t>(9th Cir. 2022) (holding that county which assisted public-sector union’s efforts to collect unlawful fees could rely on same good-faith defense).</w:t>
      </w:r>
    </w:p>
    <w:p w14:paraId="7A5653AE" w14:textId="77777777" w:rsidR="0067704F" w:rsidRPr="0067704F" w:rsidRDefault="0067704F" w:rsidP="0067704F">
      <w:pPr>
        <w:spacing w:after="0" w:line="240" w:lineRule="auto"/>
        <w:rPr>
          <w:rFonts w:ascii="Times New Roman" w:hAnsi="Times New Roman" w:cs="Times New Roman"/>
          <w:sz w:val="24"/>
          <w:szCs w:val="24"/>
        </w:rPr>
      </w:pPr>
    </w:p>
    <w:p w14:paraId="5CD53DDC" w14:textId="45A3F960" w:rsidR="0067704F" w:rsidRPr="0067704F" w:rsidRDefault="0067704F" w:rsidP="0067704F">
      <w:pPr>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A private party that acted upon the instructions of a local police department may also invoke a good faith defense.</w:t>
      </w:r>
      <w:r w:rsidR="00D80FFC">
        <w:rPr>
          <w:rFonts w:ascii="Times New Roman" w:hAnsi="Times New Roman" w:cs="Times New Roman"/>
          <w:sz w:val="24"/>
          <w:szCs w:val="24"/>
        </w:rPr>
        <w:t xml:space="preserve"> </w:t>
      </w:r>
      <w:r w:rsidRPr="0067704F">
        <w:rPr>
          <w:rFonts w:ascii="Times New Roman" w:hAnsi="Times New Roman" w:cs="Times New Roman"/>
          <w:sz w:val="24"/>
          <w:szCs w:val="24"/>
        </w:rPr>
        <w:t xml:space="preserve"> </w:t>
      </w:r>
      <w:r w:rsidRPr="00D80FFC">
        <w:rPr>
          <w:rFonts w:ascii="Times New Roman" w:hAnsi="Times New Roman" w:cs="Times New Roman"/>
          <w:i/>
          <w:iCs/>
          <w:sz w:val="24"/>
          <w:szCs w:val="24"/>
        </w:rPr>
        <w:t>Clement v. City of Glendale</w:t>
      </w:r>
      <w:r w:rsidRPr="0067704F">
        <w:rPr>
          <w:rFonts w:ascii="Times New Roman" w:hAnsi="Times New Roman" w:cs="Times New Roman"/>
          <w:sz w:val="24"/>
          <w:szCs w:val="24"/>
        </w:rPr>
        <w:t>, 518 F.3d 1090, 1096-97 (9th Cir. 2008) (holding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408CE183" w14:textId="77777777" w:rsidR="0067704F" w:rsidRDefault="0067704F" w:rsidP="0067704F">
      <w:pPr>
        <w:autoSpaceDE w:val="0"/>
        <w:autoSpaceDN w:val="0"/>
        <w:adjustRightInd w:val="0"/>
        <w:spacing w:after="0" w:line="240" w:lineRule="auto"/>
        <w:ind w:left="4320" w:hanging="4320"/>
        <w:rPr>
          <w:rFonts w:ascii="Times New Roman" w:hAnsi="Times New Roman" w:cs="Times New Roman"/>
          <w:b/>
          <w:bCs/>
          <w:sz w:val="24"/>
          <w:szCs w:val="24"/>
        </w:rPr>
      </w:pPr>
    </w:p>
    <w:p w14:paraId="616874D9" w14:textId="52D4960A" w:rsidR="0067704F" w:rsidRPr="0067704F" w:rsidRDefault="0067704F" w:rsidP="0067704F">
      <w:pPr>
        <w:autoSpaceDE w:val="0"/>
        <w:autoSpaceDN w:val="0"/>
        <w:adjustRightInd w:val="0"/>
        <w:spacing w:after="0" w:line="240" w:lineRule="auto"/>
        <w:ind w:left="4320" w:hanging="4320"/>
        <w:rPr>
          <w:rFonts w:ascii="Times New Roman" w:hAnsi="Times New Roman" w:cs="Times New Roman"/>
          <w:sz w:val="24"/>
          <w:szCs w:val="24"/>
        </w:rPr>
      </w:pPr>
      <w:r w:rsidRPr="0067704F">
        <w:rPr>
          <w:rFonts w:ascii="Times New Roman" w:hAnsi="Times New Roman" w:cs="Times New Roman"/>
          <w:b/>
          <w:bCs/>
          <w:sz w:val="24"/>
          <w:szCs w:val="24"/>
        </w:rPr>
        <w:t>Eleventh Amendment Immunity</w:t>
      </w:r>
    </w:p>
    <w:p w14:paraId="7F5794C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DF472D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Despite the language of § 1983, “every person” does not have a universal scope; it does</w:t>
      </w:r>
    </w:p>
    <w:p w14:paraId="05E73B7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not encompass claims against a state or a state agency because the Eleventh Amendment bars</w:t>
      </w:r>
    </w:p>
    <w:p w14:paraId="12E0FA0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such encroachments on a state’s sovereignty.  </w:t>
      </w:r>
      <w:r w:rsidRPr="0067704F">
        <w:rPr>
          <w:rFonts w:ascii="Times New Roman" w:hAnsi="Times New Roman" w:cs="Times New Roman"/>
          <w:i/>
          <w:iCs/>
          <w:sz w:val="24"/>
          <w:szCs w:val="24"/>
        </w:rPr>
        <w:t xml:space="preserve">Doe v. Lawrence Livermore </w:t>
      </w:r>
      <w:proofErr w:type="spellStart"/>
      <w:r w:rsidRPr="0067704F">
        <w:rPr>
          <w:rFonts w:ascii="Times New Roman" w:hAnsi="Times New Roman" w:cs="Times New Roman"/>
          <w:i/>
          <w:iCs/>
          <w:sz w:val="24"/>
          <w:szCs w:val="24"/>
        </w:rPr>
        <w:t>Nat’l</w:t>
      </w:r>
      <w:proofErr w:type="spellEnd"/>
      <w:r w:rsidRPr="0067704F">
        <w:rPr>
          <w:rFonts w:ascii="Times New Roman" w:hAnsi="Times New Roman" w:cs="Times New Roman"/>
          <w:i/>
          <w:iCs/>
          <w:sz w:val="24"/>
          <w:szCs w:val="24"/>
        </w:rPr>
        <w:t xml:space="preserve"> Lab</w:t>
      </w:r>
      <w:r w:rsidRPr="0067704F">
        <w:rPr>
          <w:rFonts w:ascii="Times New Roman" w:hAnsi="Times New Roman" w:cs="Times New Roman"/>
          <w:sz w:val="24"/>
          <w:szCs w:val="24"/>
        </w:rPr>
        <w:t>., 131 F.3d</w:t>
      </w:r>
    </w:p>
    <w:p w14:paraId="5BE4C86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836, 839 (9th Cir. 1997) (“States or governmental entities that are considered ‘arms of the State’ for Eleventh Amendment purposes are not ‘persons’ under § 1983,” quoting </w:t>
      </w:r>
      <w:r w:rsidRPr="0067704F">
        <w:rPr>
          <w:rFonts w:ascii="Times New Roman" w:hAnsi="Times New Roman" w:cs="Times New Roman"/>
          <w:i/>
          <w:iCs/>
          <w:sz w:val="24"/>
          <w:szCs w:val="24"/>
        </w:rPr>
        <w:t xml:space="preserve">Will v. Mich.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State Police</w:t>
      </w:r>
      <w:r w:rsidRPr="0067704F">
        <w:rPr>
          <w:rFonts w:ascii="Times New Roman" w:hAnsi="Times New Roman" w:cs="Times New Roman"/>
          <w:sz w:val="24"/>
          <w:szCs w:val="24"/>
        </w:rPr>
        <w:t>, 491 U.S. 58, 70 (1989)).  Even if a plaintiff seeks only injunctive relief, a state</w:t>
      </w:r>
    </w:p>
    <w:p w14:paraId="72E97D9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that has not waived its Eleventh Amendment immunity cannot be sued in its own name under § 1983.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491 U.S. at 64, 71, n.10.</w:t>
      </w:r>
    </w:p>
    <w:p w14:paraId="0284306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244270F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The Ninth Circuit applies a five-factor test to determine whether a government entity is a</w:t>
      </w:r>
    </w:p>
    <w:p w14:paraId="23F52D8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state agency for Eleventh Amendment purposes: (1) whether a money judgment would be</w:t>
      </w:r>
    </w:p>
    <w:p w14:paraId="0FE10E9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satisfied out of state funds; (2) whether the entity performs central governmental functions; (3)</w:t>
      </w:r>
    </w:p>
    <w:p w14:paraId="47FA135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whether the entity may sue or be sued; (4) whether the entity has the power to take property in its own name or only the name of the state; and (5) whether the entity has the corporate status of a state agency.  </w:t>
      </w:r>
      <w:r w:rsidRPr="0067704F">
        <w:rPr>
          <w:rFonts w:ascii="Times New Roman" w:hAnsi="Times New Roman" w:cs="Times New Roman"/>
          <w:i/>
          <w:iCs/>
          <w:sz w:val="24"/>
          <w:szCs w:val="24"/>
        </w:rPr>
        <w:t xml:space="preserve">Mitchell v. Los Angeles </w:t>
      </w:r>
      <w:proofErr w:type="spellStart"/>
      <w:r w:rsidRPr="0067704F">
        <w:rPr>
          <w:rFonts w:ascii="Times New Roman" w:hAnsi="Times New Roman" w:cs="Times New Roman"/>
          <w:i/>
          <w:iCs/>
          <w:sz w:val="24"/>
          <w:szCs w:val="24"/>
        </w:rPr>
        <w:t>Cnty</w:t>
      </w:r>
      <w:proofErr w:type="spellEnd"/>
      <w:r w:rsidRPr="0067704F">
        <w:rPr>
          <w:rFonts w:ascii="Times New Roman" w:hAnsi="Times New Roman" w:cs="Times New Roman"/>
          <w:i/>
          <w:iCs/>
          <w:sz w:val="24"/>
          <w:szCs w:val="24"/>
        </w:rPr>
        <w:t>. Coll. Dist.</w:t>
      </w:r>
      <w:r w:rsidRPr="0067704F">
        <w:rPr>
          <w:rFonts w:ascii="Times New Roman" w:hAnsi="Times New Roman" w:cs="Times New Roman"/>
          <w:sz w:val="24"/>
          <w:szCs w:val="24"/>
        </w:rPr>
        <w:t xml:space="preserve">, 861 F.2d 198, 201 (9th Cir. 1988).  The first prong of the test—whether a money judgment would be satisfied out of state funds—is the most important.  </w:t>
      </w:r>
      <w:r w:rsidRPr="0067704F">
        <w:rPr>
          <w:rFonts w:ascii="Times New Roman" w:hAnsi="Times New Roman" w:cs="Times New Roman"/>
          <w:i/>
          <w:iCs/>
          <w:sz w:val="24"/>
          <w:szCs w:val="24"/>
        </w:rPr>
        <w:t>Ray v. City of Los Angeles</w:t>
      </w:r>
      <w:r w:rsidRPr="0067704F">
        <w:rPr>
          <w:rFonts w:ascii="Times New Roman" w:hAnsi="Times New Roman" w:cs="Times New Roman"/>
          <w:sz w:val="24"/>
          <w:szCs w:val="24"/>
        </w:rPr>
        <w:t>, 935 F.3d 703, 709-10 (9th Cir. 2019).</w:t>
      </w:r>
    </w:p>
    <w:p w14:paraId="5FC5EC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719F3F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xml:space="preserve">, 491 U.S. at 71 n.10.  A state official may be sued under § 1983 in his or her individual capacity for damages.  </w:t>
      </w:r>
      <w:r w:rsidRPr="0067704F">
        <w:rPr>
          <w:rFonts w:ascii="Times New Roman" w:hAnsi="Times New Roman" w:cs="Times New Roman"/>
          <w:i/>
          <w:iCs/>
          <w:sz w:val="24"/>
          <w:szCs w:val="24"/>
        </w:rPr>
        <w:t>Kentucky v. Graham</w:t>
      </w:r>
      <w:r w:rsidRPr="0067704F">
        <w:rPr>
          <w:rFonts w:ascii="Times New Roman" w:hAnsi="Times New Roman" w:cs="Times New Roman"/>
          <w:sz w:val="24"/>
          <w:szCs w:val="24"/>
        </w:rPr>
        <w:t xml:space="preserve">, 473 U.S. 159, 165 (1985); </w:t>
      </w:r>
      <w:r w:rsidRPr="0067704F">
        <w:rPr>
          <w:rFonts w:ascii="Times New Roman" w:hAnsi="Times New Roman" w:cs="Times New Roman"/>
          <w:i/>
          <w:iCs/>
          <w:sz w:val="24"/>
          <w:szCs w:val="24"/>
        </w:rPr>
        <w:t>but see Avalos v. Baca</w:t>
      </w:r>
      <w:r w:rsidRPr="0067704F">
        <w:rPr>
          <w:rFonts w:ascii="Times New Roman" w:hAnsi="Times New Roman" w:cs="Times New Roman"/>
          <w:sz w:val="24"/>
          <w:szCs w:val="24"/>
        </w:rPr>
        <w:t xml:space="preserve">, 596 F.3d 583, 587 (9th Cir. 2010) (holding that in order to be individually liable under § 1983, individual must personally participate in alleged rights deprivation).  </w:t>
      </w:r>
    </w:p>
    <w:p w14:paraId="49B080B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346418D" w14:textId="6A80DE02"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lastRenderedPageBreak/>
        <w:tab/>
        <w:t xml:space="preserve">The Committee also recommends the Section 1983 Outline prepared by the Office of Staff Attorneys, United States Court of Appeals for the Ninth Circuit, available at: </w:t>
      </w:r>
      <w:hyperlink r:id="rId4" w:history="1">
        <w:r w:rsidR="000A14C8" w:rsidRPr="000A14C8">
          <w:rPr>
            <w:rStyle w:val="Hyperlink"/>
            <w:rFonts w:ascii="Times New Roman" w:hAnsi="Times New Roman" w:cs="Times New Roman"/>
            <w:sz w:val="24"/>
            <w:szCs w:val="24"/>
          </w:rPr>
          <w:t>https://www.ca9.uscourts.gov/guides/section-1983-outline/</w:t>
        </w:r>
      </w:hyperlink>
    </w:p>
    <w:p w14:paraId="094D6EA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99D700"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DA03E5" w14:textId="1E579D13" w:rsidR="0067704F" w:rsidRPr="0067704F" w:rsidRDefault="0067704F" w:rsidP="0067704F">
      <w:pPr>
        <w:autoSpaceDE w:val="0"/>
        <w:autoSpaceDN w:val="0"/>
        <w:adjustRightInd w:val="0"/>
        <w:spacing w:after="0" w:line="240" w:lineRule="auto"/>
        <w:jc w:val="right"/>
        <w:rPr>
          <w:rFonts w:ascii="Times New Roman" w:hAnsi="Times New Roman" w:cs="Times New Roman"/>
          <w:sz w:val="24"/>
          <w:szCs w:val="24"/>
        </w:rPr>
      </w:pPr>
      <w:r w:rsidRPr="0067704F">
        <w:rPr>
          <w:rFonts w:ascii="Times New Roman" w:hAnsi="Times New Roman" w:cs="Times New Roman"/>
          <w:i/>
          <w:iCs/>
          <w:sz w:val="24"/>
          <w:szCs w:val="24"/>
        </w:rPr>
        <w:t xml:space="preserve">Revised </w:t>
      </w:r>
      <w:r w:rsidR="00E27777">
        <w:rPr>
          <w:rFonts w:ascii="Times New Roman" w:hAnsi="Times New Roman" w:cs="Times New Roman"/>
          <w:i/>
          <w:iCs/>
          <w:sz w:val="24"/>
          <w:szCs w:val="24"/>
        </w:rPr>
        <w:t>Sept. 2022</w:t>
      </w:r>
    </w:p>
    <w:p w14:paraId="296AA8C8" w14:textId="1D85E066" w:rsidR="00FE7F82" w:rsidRPr="0067704F" w:rsidRDefault="00FE7F82">
      <w:pPr>
        <w:rPr>
          <w:rFonts w:ascii="Times New Roman" w:hAnsi="Times New Roman" w:cs="Times New Roman"/>
          <w:sz w:val="24"/>
          <w:szCs w:val="24"/>
        </w:rPr>
      </w:pPr>
    </w:p>
    <w:sectPr w:rsidR="00FE7F82" w:rsidRPr="0067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4F"/>
    <w:rsid w:val="000A14C8"/>
    <w:rsid w:val="002423F0"/>
    <w:rsid w:val="0067704F"/>
    <w:rsid w:val="00887257"/>
    <w:rsid w:val="00D80FFC"/>
    <w:rsid w:val="00E2777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BF3C"/>
  <w15:chartTrackingRefBased/>
  <w15:docId w15:val="{554089CE-6B29-46AA-B715-EFAF976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704F"/>
    <w:pPr>
      <w:spacing w:after="0" w:line="240" w:lineRule="auto"/>
    </w:pPr>
  </w:style>
  <w:style w:type="character" w:styleId="Hyperlink">
    <w:name w:val="Hyperlink"/>
    <w:basedOn w:val="DefaultParagraphFont"/>
    <w:uiPriority w:val="99"/>
    <w:unhideWhenUsed/>
    <w:rsid w:val="000A14C8"/>
    <w:rPr>
      <w:color w:val="0563C1" w:themeColor="hyperlink"/>
      <w:u w:val="single"/>
    </w:rPr>
  </w:style>
  <w:style w:type="character" w:styleId="UnresolvedMention">
    <w:name w:val="Unresolved Mention"/>
    <w:basedOn w:val="DefaultParagraphFont"/>
    <w:uiPriority w:val="99"/>
    <w:semiHidden/>
    <w:unhideWhenUsed/>
    <w:rsid w:val="000A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9.uscourts.gov/guides/section-1983-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5</cp:revision>
  <dcterms:created xsi:type="dcterms:W3CDTF">2022-09-15T21:50:00Z</dcterms:created>
  <dcterms:modified xsi:type="dcterms:W3CDTF">2022-10-26T22:33:00Z</dcterms:modified>
</cp:coreProperties>
</file>