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D4CF" w14:textId="6350F5D7" w:rsidR="0067704F" w:rsidRPr="0067704F" w:rsidRDefault="0067704F" w:rsidP="0067704F">
      <w:pPr>
        <w:tabs>
          <w:tab w:val="left" w:pos="720"/>
        </w:tabs>
        <w:autoSpaceDE w:val="0"/>
        <w:autoSpaceDN w:val="0"/>
        <w:adjustRightInd w:val="0"/>
        <w:spacing w:after="0" w:line="240" w:lineRule="auto"/>
        <w:jc w:val="center"/>
        <w:outlineLvl w:val="0"/>
        <w:rPr>
          <w:rFonts w:ascii="Times New Roman" w:hAnsi="Times New Roman" w:cs="Times New Roman"/>
          <w:b/>
          <w:bCs/>
          <w:sz w:val="24"/>
          <w:szCs w:val="24"/>
        </w:rPr>
      </w:pPr>
      <w:bookmarkStart w:id="0" w:name="_Toc103098155"/>
      <w:r w:rsidRPr="0067704F">
        <w:rPr>
          <w:rFonts w:ascii="Times New Roman" w:hAnsi="Times New Roman" w:cs="Times New Roman"/>
          <w:b/>
          <w:bCs/>
          <w:sz w:val="24"/>
          <w:szCs w:val="24"/>
        </w:rPr>
        <w:t>Introductory Comment</w:t>
      </w:r>
      <w:bookmarkEnd w:id="0"/>
    </w:p>
    <w:p w14:paraId="4526EFC7"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01C97253" w14:textId="77777777" w:rsidR="0067704F" w:rsidRPr="0067704F" w:rsidRDefault="0067704F" w:rsidP="00AC2249">
      <w:pPr>
        <w:autoSpaceDE w:val="0"/>
        <w:autoSpaceDN w:val="0"/>
        <w:adjustRightInd w:val="0"/>
        <w:spacing w:after="0" w:line="240" w:lineRule="auto"/>
        <w:ind w:firstLine="720"/>
        <w:rPr>
          <w:rFonts w:ascii="Times New Roman" w:hAnsi="Times New Roman" w:cs="Times New Roman"/>
          <w:sz w:val="24"/>
          <w:szCs w:val="24"/>
        </w:rPr>
      </w:pPr>
      <w:r w:rsidRPr="0067704F">
        <w:rPr>
          <w:rFonts w:ascii="Times New Roman" w:hAnsi="Times New Roman" w:cs="Times New Roman"/>
          <w:sz w:val="24"/>
          <w:szCs w:val="24"/>
        </w:rPr>
        <w:t>This chapter focuses on 42 U.S.C. § 1983, which provides:</w:t>
      </w:r>
    </w:p>
    <w:p w14:paraId="28338324"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5B3ABD44" w14:textId="77777777" w:rsidR="0067704F" w:rsidRPr="0067704F" w:rsidRDefault="0067704F" w:rsidP="0067704F">
      <w:pPr>
        <w:autoSpaceDE w:val="0"/>
        <w:autoSpaceDN w:val="0"/>
        <w:adjustRightInd w:val="0"/>
        <w:spacing w:after="0" w:line="240" w:lineRule="auto"/>
        <w:ind w:left="720" w:right="720"/>
        <w:jc w:val="both"/>
        <w:rPr>
          <w:rFonts w:ascii="Times New Roman" w:hAnsi="Times New Roman" w:cs="Times New Roman"/>
          <w:sz w:val="24"/>
          <w:szCs w:val="24"/>
        </w:rPr>
      </w:pPr>
      <w:r w:rsidRPr="0067704F">
        <w:rPr>
          <w:rFonts w:ascii="Times New Roman" w:hAnsi="Times New Roman" w:cs="Times New Roman"/>
          <w:sz w:val="24"/>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777BCB97"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633E63A7"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9.9–9.33 provide instructions to establish the deprivation of particular constitutional rights.  An elements instruction should be used only in conjunction with a “particular rights” instruction appropriate to the facts of the case at hand. </w:t>
      </w:r>
    </w:p>
    <w:p w14:paraId="6B81EAFC"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67704F" w:rsidRPr="0067704F" w14:paraId="6E6347AA" w14:textId="77777777" w:rsidTr="00487D46">
        <w:trPr>
          <w:cantSplit/>
        </w:trPr>
        <w:tc>
          <w:tcPr>
            <w:tcW w:w="9360" w:type="dxa"/>
            <w:gridSpan w:val="3"/>
            <w:tcBorders>
              <w:top w:val="single" w:sz="6" w:space="0" w:color="000000"/>
              <w:left w:val="single" w:sz="6" w:space="0" w:color="000000"/>
              <w:bottom w:val="nil"/>
              <w:right w:val="single" w:sz="6" w:space="0" w:color="000000"/>
            </w:tcBorders>
          </w:tcPr>
          <w:p w14:paraId="7220C645" w14:textId="77777777" w:rsidR="0067704F" w:rsidRPr="0067704F" w:rsidRDefault="0067704F" w:rsidP="0067704F">
            <w:pPr>
              <w:autoSpaceDE w:val="0"/>
              <w:autoSpaceDN w:val="0"/>
              <w:adjustRightInd w:val="0"/>
              <w:spacing w:before="100" w:after="55" w:line="240" w:lineRule="auto"/>
              <w:jc w:val="center"/>
              <w:rPr>
                <w:rFonts w:ascii="Times New Roman" w:hAnsi="Times New Roman" w:cs="Times New Roman"/>
                <w:sz w:val="24"/>
                <w:szCs w:val="24"/>
              </w:rPr>
            </w:pPr>
            <w:r w:rsidRPr="0067704F">
              <w:rPr>
                <w:rFonts w:ascii="Times New Roman" w:hAnsi="Times New Roman" w:cs="Times New Roman"/>
                <w:b/>
                <w:bCs/>
                <w:sz w:val="24"/>
                <w:szCs w:val="24"/>
              </w:rPr>
              <w:t xml:space="preserve">Elements Instructions </w:t>
            </w:r>
          </w:p>
        </w:tc>
      </w:tr>
      <w:tr w:rsidR="0067704F" w:rsidRPr="0067704F" w14:paraId="390F24CD" w14:textId="77777777" w:rsidTr="00487D46">
        <w:trPr>
          <w:cantSplit/>
        </w:trPr>
        <w:tc>
          <w:tcPr>
            <w:tcW w:w="2700" w:type="dxa"/>
            <w:tcBorders>
              <w:top w:val="single" w:sz="6" w:space="0" w:color="000000"/>
              <w:left w:val="single" w:sz="6" w:space="0" w:color="000000"/>
              <w:bottom w:val="nil"/>
              <w:right w:val="nil"/>
            </w:tcBorders>
          </w:tcPr>
          <w:p w14:paraId="71C135AC" w14:textId="77777777" w:rsidR="0067704F" w:rsidRPr="0067704F" w:rsidRDefault="0067704F" w:rsidP="0067704F">
            <w:pPr>
              <w:autoSpaceDE w:val="0"/>
              <w:autoSpaceDN w:val="0"/>
              <w:adjustRightInd w:val="0"/>
              <w:spacing w:before="100" w:after="55" w:line="240" w:lineRule="auto"/>
              <w:jc w:val="center"/>
              <w:rPr>
                <w:rFonts w:ascii="Times New Roman" w:hAnsi="Times New Roman" w:cs="Times New Roman"/>
                <w:sz w:val="24"/>
                <w:szCs w:val="24"/>
              </w:rPr>
            </w:pPr>
            <w:r w:rsidRPr="0067704F">
              <w:rPr>
                <w:rFonts w:ascii="Times New Roman" w:hAnsi="Times New Roman" w:cs="Times New Roman"/>
                <w:sz w:val="24"/>
                <w:szCs w:val="24"/>
              </w:rPr>
              <w:t>Type of Claim</w:t>
            </w:r>
          </w:p>
        </w:tc>
        <w:tc>
          <w:tcPr>
            <w:tcW w:w="4860" w:type="dxa"/>
            <w:tcBorders>
              <w:top w:val="single" w:sz="6" w:space="0" w:color="000000"/>
              <w:left w:val="single" w:sz="6" w:space="0" w:color="000000"/>
              <w:bottom w:val="nil"/>
              <w:right w:val="nil"/>
            </w:tcBorders>
          </w:tcPr>
          <w:p w14:paraId="1C34FD80" w14:textId="77777777" w:rsidR="0067704F" w:rsidRPr="0067704F" w:rsidRDefault="0067704F" w:rsidP="0067704F">
            <w:pPr>
              <w:autoSpaceDE w:val="0"/>
              <w:autoSpaceDN w:val="0"/>
              <w:adjustRightInd w:val="0"/>
              <w:spacing w:before="100" w:after="55" w:line="240" w:lineRule="auto"/>
              <w:jc w:val="center"/>
              <w:rPr>
                <w:rFonts w:ascii="Times New Roman" w:hAnsi="Times New Roman" w:cs="Times New Roman"/>
                <w:sz w:val="24"/>
                <w:szCs w:val="24"/>
              </w:rPr>
            </w:pPr>
            <w:r w:rsidRPr="0067704F">
              <w:rPr>
                <w:rFonts w:ascii="Times New Roman" w:hAnsi="Times New Roman" w:cs="Times New Roman"/>
                <w:sz w:val="24"/>
                <w:szCs w:val="24"/>
              </w:rPr>
              <w:t xml:space="preserve">Elements </w:t>
            </w:r>
          </w:p>
        </w:tc>
        <w:tc>
          <w:tcPr>
            <w:tcW w:w="1800" w:type="dxa"/>
            <w:tcBorders>
              <w:top w:val="single" w:sz="6" w:space="0" w:color="000000"/>
              <w:left w:val="single" w:sz="6" w:space="0" w:color="000000"/>
              <w:bottom w:val="nil"/>
              <w:right w:val="single" w:sz="6" w:space="0" w:color="000000"/>
            </w:tcBorders>
          </w:tcPr>
          <w:p w14:paraId="37EDCE46" w14:textId="77777777" w:rsidR="0067704F" w:rsidRPr="0067704F" w:rsidRDefault="0067704F" w:rsidP="0067704F">
            <w:pPr>
              <w:autoSpaceDE w:val="0"/>
              <w:autoSpaceDN w:val="0"/>
              <w:adjustRightInd w:val="0"/>
              <w:spacing w:before="100" w:after="55" w:line="240" w:lineRule="auto"/>
              <w:jc w:val="center"/>
              <w:rPr>
                <w:rFonts w:ascii="Times New Roman" w:hAnsi="Times New Roman" w:cs="Times New Roman"/>
                <w:sz w:val="24"/>
                <w:szCs w:val="24"/>
              </w:rPr>
            </w:pPr>
            <w:r w:rsidRPr="0067704F">
              <w:rPr>
                <w:rFonts w:ascii="Times New Roman" w:hAnsi="Times New Roman" w:cs="Times New Roman"/>
                <w:sz w:val="24"/>
                <w:szCs w:val="24"/>
              </w:rPr>
              <w:t>Instruction No.</w:t>
            </w:r>
          </w:p>
        </w:tc>
      </w:tr>
      <w:tr w:rsidR="0067704F" w:rsidRPr="0067704F" w14:paraId="270FF656" w14:textId="77777777" w:rsidTr="00487D46">
        <w:trPr>
          <w:cantSplit/>
        </w:trPr>
        <w:tc>
          <w:tcPr>
            <w:tcW w:w="2700" w:type="dxa"/>
            <w:vMerge w:val="restart"/>
            <w:tcBorders>
              <w:top w:val="single" w:sz="6" w:space="0" w:color="000000"/>
              <w:left w:val="single" w:sz="6" w:space="0" w:color="000000"/>
              <w:bottom w:val="nil"/>
              <w:right w:val="nil"/>
            </w:tcBorders>
            <w:vAlign w:val="center"/>
          </w:tcPr>
          <w:p w14:paraId="1503B05B"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Against Individuals</w:t>
            </w:r>
          </w:p>
        </w:tc>
        <w:tc>
          <w:tcPr>
            <w:tcW w:w="4860" w:type="dxa"/>
            <w:tcBorders>
              <w:top w:val="single" w:sz="6" w:space="0" w:color="000000"/>
              <w:left w:val="single" w:sz="6" w:space="0" w:color="000000"/>
              <w:bottom w:val="nil"/>
              <w:right w:val="nil"/>
            </w:tcBorders>
          </w:tcPr>
          <w:p w14:paraId="49914B68"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Individual Capacity</w:t>
            </w:r>
          </w:p>
        </w:tc>
        <w:tc>
          <w:tcPr>
            <w:tcW w:w="1800" w:type="dxa"/>
            <w:tcBorders>
              <w:top w:val="single" w:sz="6" w:space="0" w:color="000000"/>
              <w:left w:val="single" w:sz="6" w:space="0" w:color="000000"/>
              <w:bottom w:val="nil"/>
              <w:right w:val="single" w:sz="6" w:space="0" w:color="000000"/>
            </w:tcBorders>
          </w:tcPr>
          <w:p w14:paraId="66069F08"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9.3</w:t>
            </w:r>
          </w:p>
        </w:tc>
      </w:tr>
      <w:tr w:rsidR="0067704F" w:rsidRPr="0067704F" w14:paraId="75C405A9" w14:textId="77777777" w:rsidTr="00487D46">
        <w:trPr>
          <w:cantSplit/>
        </w:trPr>
        <w:tc>
          <w:tcPr>
            <w:tcW w:w="2700" w:type="dxa"/>
            <w:vMerge/>
            <w:tcBorders>
              <w:top w:val="single" w:sz="6" w:space="0" w:color="000000"/>
              <w:left w:val="single" w:sz="6" w:space="0" w:color="000000"/>
              <w:bottom w:val="nil"/>
              <w:right w:val="nil"/>
            </w:tcBorders>
          </w:tcPr>
          <w:p w14:paraId="2A6A0175"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p>
        </w:tc>
        <w:tc>
          <w:tcPr>
            <w:tcW w:w="4860" w:type="dxa"/>
            <w:tcBorders>
              <w:top w:val="single" w:sz="6" w:space="0" w:color="000000"/>
              <w:left w:val="single" w:sz="6" w:space="0" w:color="000000"/>
              <w:bottom w:val="nil"/>
              <w:right w:val="nil"/>
            </w:tcBorders>
          </w:tcPr>
          <w:p w14:paraId="3FC6B288"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44BBDAC1"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9.4</w:t>
            </w:r>
          </w:p>
        </w:tc>
      </w:tr>
      <w:tr w:rsidR="0067704F" w:rsidRPr="0067704F" w14:paraId="21D82731" w14:textId="77777777" w:rsidTr="00487D4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7C1A25A4" w14:textId="77777777" w:rsidR="0067704F" w:rsidRPr="0067704F" w:rsidRDefault="0067704F" w:rsidP="0067704F">
            <w:pPr>
              <w:autoSpaceDE w:val="0"/>
              <w:autoSpaceDN w:val="0"/>
              <w:adjustRightInd w:val="0"/>
              <w:spacing w:after="55" w:line="240" w:lineRule="auto"/>
              <w:rPr>
                <w:rFonts w:ascii="Times New Roman" w:hAnsi="Times New Roman" w:cs="Times New Roman"/>
                <w:sz w:val="24"/>
                <w:szCs w:val="24"/>
              </w:rPr>
            </w:pPr>
            <w:r w:rsidRPr="0067704F">
              <w:rPr>
                <w:rFonts w:ascii="Times New Roman" w:hAnsi="Times New Roman" w:cs="Times New Roman"/>
                <w:sz w:val="24"/>
                <w:szCs w:val="24"/>
              </w:rPr>
              <w:t xml:space="preserve">Against Local Governing Body </w:t>
            </w:r>
          </w:p>
        </w:tc>
        <w:tc>
          <w:tcPr>
            <w:tcW w:w="4860" w:type="dxa"/>
            <w:tcBorders>
              <w:top w:val="single" w:sz="6" w:space="0" w:color="000000"/>
              <w:left w:val="single" w:sz="6" w:space="0" w:color="000000"/>
              <w:bottom w:val="nil"/>
              <w:right w:val="nil"/>
            </w:tcBorders>
          </w:tcPr>
          <w:p w14:paraId="12231185"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6663E86A"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9.5</w:t>
            </w:r>
          </w:p>
        </w:tc>
      </w:tr>
      <w:tr w:rsidR="0067704F" w:rsidRPr="0067704F" w14:paraId="453C9CAF" w14:textId="77777777" w:rsidTr="00487D46">
        <w:trPr>
          <w:cantSplit/>
        </w:trPr>
        <w:tc>
          <w:tcPr>
            <w:tcW w:w="2700" w:type="dxa"/>
            <w:vMerge/>
            <w:tcBorders>
              <w:top w:val="single" w:sz="6" w:space="0" w:color="000000"/>
              <w:left w:val="single" w:sz="6" w:space="0" w:color="000000"/>
              <w:bottom w:val="nil"/>
              <w:right w:val="nil"/>
            </w:tcBorders>
          </w:tcPr>
          <w:p w14:paraId="7C643FDD"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p>
        </w:tc>
        <w:tc>
          <w:tcPr>
            <w:tcW w:w="4860" w:type="dxa"/>
            <w:tcBorders>
              <w:top w:val="single" w:sz="6" w:space="0" w:color="000000"/>
              <w:left w:val="single" w:sz="6" w:space="0" w:color="000000"/>
              <w:bottom w:val="nil"/>
              <w:right w:val="nil"/>
            </w:tcBorders>
          </w:tcPr>
          <w:p w14:paraId="2CF302EA"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01C387C7"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9.6</w:t>
            </w:r>
          </w:p>
        </w:tc>
      </w:tr>
      <w:tr w:rsidR="0067704F" w:rsidRPr="0067704F" w14:paraId="547C82A2" w14:textId="77777777" w:rsidTr="00487D46">
        <w:trPr>
          <w:cantSplit/>
        </w:trPr>
        <w:tc>
          <w:tcPr>
            <w:tcW w:w="2700" w:type="dxa"/>
            <w:vMerge/>
            <w:tcBorders>
              <w:top w:val="single" w:sz="6" w:space="0" w:color="000000"/>
              <w:left w:val="single" w:sz="6" w:space="0" w:color="000000"/>
              <w:bottom w:val="nil"/>
              <w:right w:val="nil"/>
            </w:tcBorders>
          </w:tcPr>
          <w:p w14:paraId="4153B2AE"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p>
        </w:tc>
        <w:tc>
          <w:tcPr>
            <w:tcW w:w="4860" w:type="dxa"/>
            <w:tcBorders>
              <w:top w:val="single" w:sz="6" w:space="0" w:color="000000"/>
              <w:left w:val="single" w:sz="6" w:space="0" w:color="000000"/>
              <w:bottom w:val="nil"/>
              <w:right w:val="nil"/>
            </w:tcBorders>
          </w:tcPr>
          <w:p w14:paraId="42FA842B"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Based on Ratification</w:t>
            </w:r>
          </w:p>
        </w:tc>
        <w:tc>
          <w:tcPr>
            <w:tcW w:w="1800" w:type="dxa"/>
            <w:tcBorders>
              <w:top w:val="single" w:sz="6" w:space="0" w:color="000000"/>
              <w:left w:val="single" w:sz="6" w:space="0" w:color="000000"/>
              <w:bottom w:val="nil"/>
              <w:right w:val="single" w:sz="6" w:space="0" w:color="000000"/>
            </w:tcBorders>
          </w:tcPr>
          <w:p w14:paraId="1FAD3FFD"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9.7</w:t>
            </w:r>
          </w:p>
        </w:tc>
      </w:tr>
      <w:tr w:rsidR="0067704F" w:rsidRPr="0067704F" w14:paraId="7E5A3197" w14:textId="77777777" w:rsidTr="00487D46">
        <w:trPr>
          <w:cantSplit/>
        </w:trPr>
        <w:tc>
          <w:tcPr>
            <w:tcW w:w="2700" w:type="dxa"/>
            <w:vMerge/>
            <w:tcBorders>
              <w:top w:val="single" w:sz="6" w:space="0" w:color="000000"/>
              <w:left w:val="single" w:sz="6" w:space="0" w:color="000000"/>
              <w:bottom w:val="single" w:sz="6" w:space="0" w:color="000000"/>
              <w:right w:val="nil"/>
            </w:tcBorders>
          </w:tcPr>
          <w:p w14:paraId="47AC63C2"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p>
        </w:tc>
        <w:tc>
          <w:tcPr>
            <w:tcW w:w="4860" w:type="dxa"/>
            <w:tcBorders>
              <w:top w:val="single" w:sz="6" w:space="0" w:color="000000"/>
              <w:left w:val="single" w:sz="6" w:space="0" w:color="000000"/>
              <w:bottom w:val="single" w:sz="6" w:space="0" w:color="000000"/>
              <w:right w:val="nil"/>
            </w:tcBorders>
          </w:tcPr>
          <w:p w14:paraId="3B7BDA53"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19737B9F" w14:textId="77777777" w:rsidR="0067704F" w:rsidRPr="0067704F" w:rsidRDefault="0067704F" w:rsidP="0067704F">
            <w:pPr>
              <w:autoSpaceDE w:val="0"/>
              <w:autoSpaceDN w:val="0"/>
              <w:adjustRightInd w:val="0"/>
              <w:spacing w:before="100" w:after="55" w:line="240" w:lineRule="auto"/>
              <w:rPr>
                <w:rFonts w:ascii="Times New Roman" w:hAnsi="Times New Roman" w:cs="Times New Roman"/>
                <w:sz w:val="24"/>
                <w:szCs w:val="24"/>
              </w:rPr>
            </w:pPr>
            <w:r w:rsidRPr="0067704F">
              <w:rPr>
                <w:rFonts w:ascii="Times New Roman" w:hAnsi="Times New Roman" w:cs="Times New Roman"/>
                <w:sz w:val="24"/>
                <w:szCs w:val="24"/>
              </w:rPr>
              <w:t>9.8</w:t>
            </w:r>
          </w:p>
        </w:tc>
      </w:tr>
    </w:tbl>
    <w:p w14:paraId="652D5BD9"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1829868D" w14:textId="107338EC"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The chart below identifies the instructions for violations of particular federal rights to be used in conjunction with an </w:t>
      </w:r>
      <w:proofErr w:type="gramStart"/>
      <w:r w:rsidRPr="0067704F">
        <w:rPr>
          <w:rFonts w:ascii="Times New Roman" w:hAnsi="Times New Roman" w:cs="Times New Roman"/>
          <w:sz w:val="24"/>
          <w:szCs w:val="24"/>
        </w:rPr>
        <w:t>elements</w:t>
      </w:r>
      <w:proofErr w:type="gramEnd"/>
      <w:r w:rsidRPr="0067704F">
        <w:rPr>
          <w:rFonts w:ascii="Times New Roman" w:hAnsi="Times New Roman" w:cs="Times New Roman"/>
          <w:sz w:val="24"/>
          <w:szCs w:val="24"/>
        </w:rPr>
        <w:t xml:space="preserve"> instruction. “</w:t>
      </w:r>
      <w:r w:rsidR="00124E24">
        <w:rPr>
          <w:rFonts w:ascii="Times New Roman" w:hAnsi="Times New Roman" w:cs="Times New Roman"/>
          <w:sz w:val="24"/>
          <w:szCs w:val="24"/>
        </w:rPr>
        <w:t>[</w:t>
      </w:r>
      <w:r w:rsidRPr="0067704F">
        <w:rPr>
          <w:rFonts w:ascii="Times New Roman" w:hAnsi="Times New Roman" w:cs="Times New Roman"/>
          <w:sz w:val="24"/>
          <w:szCs w:val="24"/>
        </w:rPr>
        <w:t>W</w:t>
      </w:r>
      <w:r w:rsidR="00124E24">
        <w:rPr>
          <w:rFonts w:ascii="Times New Roman" w:hAnsi="Times New Roman" w:cs="Times New Roman"/>
          <w:sz w:val="24"/>
          <w:szCs w:val="24"/>
        </w:rPr>
        <w:t>]</w:t>
      </w:r>
      <w:r w:rsidRPr="0067704F">
        <w:rPr>
          <w:rFonts w:ascii="Times New Roman" w:hAnsi="Times New Roman" w:cs="Times New Roman"/>
          <w:sz w:val="24"/>
          <w:szCs w:val="24"/>
        </w:rPr>
        <w:t xml:space="preserve">here a particular amendment ‘provides an explicit textual source of constitutional protection’ against a particular sort of government behavior, ‘that Amendment, not the more generalized notion of ‘substantive due process,’ must be the guide for analyzing these claims.’”  </w:t>
      </w:r>
      <w:proofErr w:type="spellStart"/>
      <w:r w:rsidR="00124E24" w:rsidRPr="00124E24">
        <w:rPr>
          <w:rFonts w:ascii="Times New Roman" w:hAnsi="Times New Roman" w:cs="Times New Roman"/>
          <w:i/>
          <w:iCs/>
          <w:sz w:val="24"/>
          <w:szCs w:val="24"/>
        </w:rPr>
        <w:t>Cnty</w:t>
      </w:r>
      <w:proofErr w:type="spellEnd"/>
      <w:r w:rsidR="00124E24" w:rsidRPr="00124E24">
        <w:rPr>
          <w:rFonts w:ascii="Times New Roman" w:hAnsi="Times New Roman" w:cs="Times New Roman"/>
          <w:i/>
          <w:iCs/>
          <w:sz w:val="24"/>
          <w:szCs w:val="24"/>
        </w:rPr>
        <w:t>. of Sacramento v. Lewis</w:t>
      </w:r>
      <w:r w:rsidR="00124E24" w:rsidRPr="00124E24">
        <w:rPr>
          <w:rFonts w:ascii="Times New Roman" w:hAnsi="Times New Roman" w:cs="Times New Roman"/>
          <w:sz w:val="24"/>
          <w:szCs w:val="24"/>
        </w:rPr>
        <w:t>, 523 U.S. 833, 842 (1998) (quoting</w:t>
      </w:r>
      <w:r w:rsidR="00124E24" w:rsidRPr="00124E24">
        <w:rPr>
          <w:rFonts w:ascii="Times New Roman" w:hAnsi="Times New Roman" w:cs="Times New Roman"/>
          <w:i/>
          <w:iCs/>
          <w:sz w:val="24"/>
          <w:szCs w:val="24"/>
        </w:rPr>
        <w:t xml:space="preserve"> </w:t>
      </w:r>
      <w:r w:rsidRPr="0067704F">
        <w:rPr>
          <w:rFonts w:ascii="Times New Roman" w:hAnsi="Times New Roman" w:cs="Times New Roman"/>
          <w:i/>
          <w:iCs/>
          <w:sz w:val="24"/>
          <w:szCs w:val="24"/>
        </w:rPr>
        <w:t>Albright v. Oliver</w:t>
      </w:r>
      <w:r w:rsidRPr="0067704F">
        <w:rPr>
          <w:rFonts w:ascii="Times New Roman" w:hAnsi="Times New Roman" w:cs="Times New Roman"/>
          <w:sz w:val="24"/>
          <w:szCs w:val="24"/>
        </w:rPr>
        <w:t xml:space="preserve">, 510 U.S. 266, 273 (1994) (plurality opinion); </w:t>
      </w:r>
      <w:r w:rsidRPr="0067704F">
        <w:rPr>
          <w:rFonts w:ascii="Times New Roman" w:hAnsi="Times New Roman" w:cs="Times New Roman"/>
          <w:i/>
          <w:iCs/>
          <w:sz w:val="24"/>
          <w:szCs w:val="24"/>
        </w:rPr>
        <w:t xml:space="preserve">Kirkpatrick v. </w:t>
      </w:r>
      <w:proofErr w:type="spellStart"/>
      <w:r w:rsidRPr="0067704F">
        <w:rPr>
          <w:rFonts w:ascii="Times New Roman" w:hAnsi="Times New Roman" w:cs="Times New Roman"/>
          <w:i/>
          <w:iCs/>
          <w:sz w:val="24"/>
          <w:szCs w:val="24"/>
        </w:rPr>
        <w:t>Cnty</w:t>
      </w:r>
      <w:proofErr w:type="spellEnd"/>
      <w:r w:rsidRPr="0067704F">
        <w:rPr>
          <w:rFonts w:ascii="Times New Roman" w:hAnsi="Times New Roman" w:cs="Times New Roman"/>
          <w:i/>
          <w:iCs/>
          <w:sz w:val="24"/>
          <w:szCs w:val="24"/>
        </w:rPr>
        <w:t xml:space="preserve"> of Washoe</w:t>
      </w:r>
      <w:r w:rsidRPr="0067704F">
        <w:rPr>
          <w:rFonts w:ascii="Times New Roman" w:hAnsi="Times New Roman" w:cs="Times New Roman"/>
          <w:sz w:val="24"/>
          <w:szCs w:val="24"/>
        </w:rPr>
        <w:t xml:space="preserve">, 843 F.3d 784, 788 n.2 (9th Cir. 2016).  When necessary, these instructions include right-specific mental states because § 1983 </w:t>
      </w:r>
      <w:r w:rsidR="00124E24">
        <w:rPr>
          <w:rFonts w:ascii="Times New Roman" w:hAnsi="Times New Roman" w:cs="Times New Roman"/>
          <w:sz w:val="24"/>
          <w:szCs w:val="24"/>
        </w:rPr>
        <w:t>“</w:t>
      </w:r>
      <w:r w:rsidRPr="0067704F">
        <w:rPr>
          <w:rFonts w:ascii="Times New Roman" w:hAnsi="Times New Roman" w:cs="Times New Roman"/>
          <w:sz w:val="24"/>
          <w:szCs w:val="24"/>
        </w:rPr>
        <w:t xml:space="preserve">itself </w:t>
      </w:r>
      <w:r w:rsidR="00124E24">
        <w:rPr>
          <w:rFonts w:ascii="Times New Roman" w:hAnsi="Times New Roman" w:cs="Times New Roman"/>
          <w:sz w:val="24"/>
          <w:szCs w:val="24"/>
        </w:rPr>
        <w:t>‘</w:t>
      </w:r>
      <w:r w:rsidRPr="0067704F">
        <w:rPr>
          <w:rFonts w:ascii="Times New Roman" w:hAnsi="Times New Roman" w:cs="Times New Roman"/>
          <w:sz w:val="24"/>
          <w:szCs w:val="24"/>
        </w:rPr>
        <w:t>contains no state-of-mind requirement</w:t>
      </w:r>
      <w:r w:rsidR="00124E24" w:rsidRPr="00124E24">
        <w:rPr>
          <w:rFonts w:ascii="Times New Roman" w:hAnsi="Times New Roman" w:cs="Times New Roman"/>
          <w:sz w:val="24"/>
          <w:szCs w:val="24"/>
        </w:rPr>
        <w:t xml:space="preserve"> </w:t>
      </w:r>
      <w:r w:rsidR="00124E24" w:rsidRPr="0067704F">
        <w:rPr>
          <w:rFonts w:ascii="Times New Roman" w:hAnsi="Times New Roman" w:cs="Times New Roman"/>
          <w:sz w:val="24"/>
          <w:szCs w:val="24"/>
        </w:rPr>
        <w:lastRenderedPageBreak/>
        <w:t>independent</w:t>
      </w:r>
      <w:r w:rsidR="00124E24">
        <w:rPr>
          <w:rFonts w:ascii="Times New Roman" w:hAnsi="Times New Roman" w:cs="Times New Roman"/>
          <w:sz w:val="24"/>
          <w:szCs w:val="24"/>
        </w:rPr>
        <w:t xml:space="preserve"> of that</w:t>
      </w:r>
      <w:r w:rsidR="00C67E26">
        <w:rPr>
          <w:rFonts w:ascii="Times New Roman" w:hAnsi="Times New Roman" w:cs="Times New Roman"/>
          <w:sz w:val="24"/>
          <w:szCs w:val="24"/>
        </w:rPr>
        <w:t xml:space="preserve"> </w:t>
      </w:r>
      <w:r w:rsidRPr="0067704F">
        <w:rPr>
          <w:rFonts w:ascii="Times New Roman" w:hAnsi="Times New Roman" w:cs="Times New Roman"/>
          <w:sz w:val="24"/>
          <w:szCs w:val="24"/>
        </w:rPr>
        <w:t>necessary to state a violation</w:t>
      </w:r>
      <w:r w:rsidR="00124E24">
        <w:rPr>
          <w:rFonts w:ascii="Times New Roman" w:hAnsi="Times New Roman" w:cs="Times New Roman"/>
          <w:sz w:val="24"/>
          <w:szCs w:val="24"/>
        </w:rPr>
        <w:t>’</w:t>
      </w:r>
      <w:r w:rsidRPr="0067704F">
        <w:rPr>
          <w:rFonts w:ascii="Times New Roman" w:hAnsi="Times New Roman" w:cs="Times New Roman"/>
          <w:sz w:val="24"/>
          <w:szCs w:val="24"/>
        </w:rPr>
        <w:t xml:space="preserve"> of the underlying</w:t>
      </w:r>
      <w:r w:rsidR="00124E24">
        <w:rPr>
          <w:rFonts w:ascii="Times New Roman" w:hAnsi="Times New Roman" w:cs="Times New Roman"/>
          <w:sz w:val="24"/>
          <w:szCs w:val="24"/>
        </w:rPr>
        <w:t xml:space="preserve"> federal</w:t>
      </w:r>
      <w:r w:rsidRPr="0067704F">
        <w:rPr>
          <w:rFonts w:ascii="Times New Roman" w:hAnsi="Times New Roman" w:cs="Times New Roman"/>
          <w:sz w:val="24"/>
          <w:szCs w:val="24"/>
        </w:rPr>
        <w:t xml:space="preserve"> right.</w:t>
      </w:r>
      <w:r w:rsidR="00124E24" w:rsidRPr="00124E24">
        <w:rPr>
          <w:rFonts w:ascii="Times New Roman" w:hAnsi="Times New Roman" w:cs="Times New Roman"/>
          <w:sz w:val="24"/>
          <w:szCs w:val="24"/>
        </w:rPr>
        <w:t xml:space="preserve">” </w:t>
      </w:r>
      <w:r w:rsidR="00124E24" w:rsidRPr="00124E24">
        <w:rPr>
          <w:rFonts w:ascii="Times New Roman" w:hAnsi="Times New Roman" w:cs="Times New Roman"/>
          <w:i/>
          <w:iCs/>
          <w:sz w:val="24"/>
          <w:szCs w:val="24"/>
        </w:rPr>
        <w:t xml:space="preserve">Bd. of </w:t>
      </w:r>
      <w:proofErr w:type="spellStart"/>
      <w:r w:rsidR="00124E24" w:rsidRPr="00124E24">
        <w:rPr>
          <w:rFonts w:ascii="Times New Roman" w:hAnsi="Times New Roman" w:cs="Times New Roman"/>
          <w:i/>
          <w:iCs/>
          <w:sz w:val="24"/>
          <w:szCs w:val="24"/>
        </w:rPr>
        <w:t>Cnty</w:t>
      </w:r>
      <w:proofErr w:type="spellEnd"/>
      <w:r w:rsidR="00124E24" w:rsidRPr="00124E24">
        <w:rPr>
          <w:rFonts w:ascii="Times New Roman" w:hAnsi="Times New Roman" w:cs="Times New Roman"/>
          <w:i/>
          <w:iCs/>
          <w:sz w:val="24"/>
          <w:szCs w:val="24"/>
        </w:rPr>
        <w:t xml:space="preserve">. Comm’rs of Bryan </w:t>
      </w:r>
      <w:proofErr w:type="spellStart"/>
      <w:r w:rsidR="00124E24" w:rsidRPr="00124E24">
        <w:rPr>
          <w:rFonts w:ascii="Times New Roman" w:hAnsi="Times New Roman" w:cs="Times New Roman"/>
          <w:i/>
          <w:iCs/>
          <w:sz w:val="24"/>
          <w:szCs w:val="24"/>
        </w:rPr>
        <w:t>Cnty</w:t>
      </w:r>
      <w:proofErr w:type="spellEnd"/>
      <w:r w:rsidR="00124E24" w:rsidRPr="00124E24">
        <w:rPr>
          <w:rFonts w:ascii="Times New Roman" w:hAnsi="Times New Roman" w:cs="Times New Roman"/>
          <w:i/>
          <w:iCs/>
          <w:sz w:val="24"/>
          <w:szCs w:val="24"/>
        </w:rPr>
        <w:t xml:space="preserve">., </w:t>
      </w:r>
      <w:proofErr w:type="spellStart"/>
      <w:r w:rsidR="00124E24" w:rsidRPr="00124E24">
        <w:rPr>
          <w:rFonts w:ascii="Times New Roman" w:hAnsi="Times New Roman" w:cs="Times New Roman"/>
          <w:i/>
          <w:iCs/>
          <w:sz w:val="24"/>
          <w:szCs w:val="24"/>
        </w:rPr>
        <w:t>Okl</w:t>
      </w:r>
      <w:proofErr w:type="spellEnd"/>
      <w:r w:rsidR="00124E24" w:rsidRPr="00124E24">
        <w:rPr>
          <w:rFonts w:ascii="Times New Roman" w:hAnsi="Times New Roman" w:cs="Times New Roman"/>
          <w:i/>
          <w:iCs/>
          <w:sz w:val="24"/>
          <w:szCs w:val="24"/>
        </w:rPr>
        <w:t>. v. Brown</w:t>
      </w:r>
      <w:r w:rsidR="00124E24" w:rsidRPr="00124E24">
        <w:rPr>
          <w:rFonts w:ascii="Times New Roman" w:hAnsi="Times New Roman" w:cs="Times New Roman"/>
          <w:sz w:val="24"/>
          <w:szCs w:val="24"/>
        </w:rPr>
        <w:t>, 520 U.S. 397, 405 (1997) (quoting</w:t>
      </w:r>
      <w:r w:rsidRPr="0067704F">
        <w:rPr>
          <w:rFonts w:ascii="Times New Roman" w:hAnsi="Times New Roman" w:cs="Times New Roman"/>
          <w:sz w:val="24"/>
          <w:szCs w:val="24"/>
        </w:rPr>
        <w:t xml:space="preserve"> </w:t>
      </w:r>
      <w:r w:rsidRPr="0067704F">
        <w:rPr>
          <w:rFonts w:ascii="Times New Roman" w:hAnsi="Times New Roman" w:cs="Times New Roman"/>
          <w:i/>
          <w:iCs/>
          <w:sz w:val="24"/>
          <w:szCs w:val="24"/>
        </w:rPr>
        <w:t>Daniels v. Williams</w:t>
      </w:r>
      <w:r w:rsidRPr="0067704F">
        <w:rPr>
          <w:rFonts w:ascii="Times New Roman" w:hAnsi="Times New Roman" w:cs="Times New Roman"/>
          <w:sz w:val="24"/>
          <w:szCs w:val="24"/>
        </w:rPr>
        <w:t>, 474 U.S. 327, 328 (1986)</w:t>
      </w:r>
      <w:r w:rsidR="00124E24">
        <w:rPr>
          <w:rFonts w:ascii="Times New Roman" w:hAnsi="Times New Roman" w:cs="Times New Roman"/>
          <w:sz w:val="24"/>
          <w:szCs w:val="24"/>
        </w:rPr>
        <w:t>)</w:t>
      </w:r>
      <w:r w:rsidRPr="0067704F">
        <w:rPr>
          <w:rFonts w:ascii="Times New Roman" w:hAnsi="Times New Roman" w:cs="Times New Roman"/>
          <w:sz w:val="24"/>
          <w:szCs w:val="24"/>
        </w:rPr>
        <w:t xml:space="preserve">. </w:t>
      </w:r>
    </w:p>
    <w:p w14:paraId="0C1B8639"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67704F" w:rsidRPr="0067704F" w14:paraId="6866C347" w14:textId="77777777" w:rsidTr="00487D46">
        <w:trPr>
          <w:cantSplit/>
        </w:trPr>
        <w:tc>
          <w:tcPr>
            <w:tcW w:w="9360" w:type="dxa"/>
            <w:gridSpan w:val="4"/>
            <w:tcBorders>
              <w:top w:val="single" w:sz="6" w:space="0" w:color="000000"/>
              <w:left w:val="single" w:sz="6" w:space="0" w:color="000000"/>
              <w:bottom w:val="nil"/>
              <w:right w:val="single" w:sz="6" w:space="0" w:color="000000"/>
            </w:tcBorders>
          </w:tcPr>
          <w:p w14:paraId="16F8F8A0" w14:textId="77777777" w:rsidR="0067704F" w:rsidRPr="0067704F" w:rsidRDefault="0067704F" w:rsidP="0067704F">
            <w:pPr>
              <w:autoSpaceDE w:val="0"/>
              <w:autoSpaceDN w:val="0"/>
              <w:adjustRightInd w:val="0"/>
              <w:spacing w:before="100" w:after="56" w:line="240" w:lineRule="auto"/>
              <w:jc w:val="center"/>
              <w:rPr>
                <w:rFonts w:ascii="Times New Roman" w:hAnsi="Times New Roman" w:cs="Times New Roman"/>
                <w:sz w:val="24"/>
                <w:szCs w:val="24"/>
              </w:rPr>
            </w:pPr>
            <w:r w:rsidRPr="0067704F">
              <w:rPr>
                <w:rFonts w:ascii="Times New Roman" w:hAnsi="Times New Roman" w:cs="Times New Roman"/>
                <w:b/>
                <w:bCs/>
                <w:sz w:val="24"/>
                <w:szCs w:val="24"/>
              </w:rPr>
              <w:t>Particular Rights Instructions</w:t>
            </w:r>
          </w:p>
        </w:tc>
      </w:tr>
      <w:tr w:rsidR="0067704F" w:rsidRPr="0067704F" w14:paraId="588282FC" w14:textId="77777777" w:rsidTr="00487D46">
        <w:trPr>
          <w:cantSplit/>
        </w:trPr>
        <w:tc>
          <w:tcPr>
            <w:tcW w:w="2700" w:type="dxa"/>
            <w:tcBorders>
              <w:top w:val="single" w:sz="6" w:space="0" w:color="000000"/>
              <w:left w:val="single" w:sz="6" w:space="0" w:color="000000"/>
              <w:bottom w:val="nil"/>
              <w:right w:val="nil"/>
            </w:tcBorders>
            <w:vAlign w:val="center"/>
          </w:tcPr>
          <w:p w14:paraId="495E5AA0"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Type of Claim by Source</w:t>
            </w:r>
          </w:p>
        </w:tc>
        <w:tc>
          <w:tcPr>
            <w:tcW w:w="4860" w:type="dxa"/>
            <w:gridSpan w:val="2"/>
            <w:tcBorders>
              <w:top w:val="single" w:sz="6" w:space="0" w:color="000000"/>
              <w:left w:val="single" w:sz="6" w:space="0" w:color="000000"/>
              <w:bottom w:val="nil"/>
              <w:right w:val="nil"/>
            </w:tcBorders>
          </w:tcPr>
          <w:p w14:paraId="43C7922D" w14:textId="46277AC1" w:rsidR="0067704F" w:rsidRPr="0067704F" w:rsidRDefault="00124E24" w:rsidP="0067704F">
            <w:pPr>
              <w:autoSpaceDE w:val="0"/>
              <w:autoSpaceDN w:val="0"/>
              <w:adjustRightInd w:val="0"/>
              <w:spacing w:before="100" w:after="56" w:line="240" w:lineRule="auto"/>
              <w:jc w:val="center"/>
              <w:rPr>
                <w:rFonts w:ascii="Times New Roman" w:hAnsi="Times New Roman" w:cs="Times New Roman"/>
                <w:sz w:val="24"/>
                <w:szCs w:val="24"/>
              </w:rPr>
            </w:pPr>
            <w:r>
              <w:rPr>
                <w:rFonts w:ascii="Times New Roman" w:hAnsi="Times New Roman" w:cs="Times New Roman"/>
                <w:sz w:val="24"/>
                <w:szCs w:val="24"/>
              </w:rPr>
              <w:t>Protection</w:t>
            </w:r>
          </w:p>
        </w:tc>
        <w:tc>
          <w:tcPr>
            <w:tcW w:w="1800" w:type="dxa"/>
            <w:tcBorders>
              <w:top w:val="single" w:sz="6" w:space="0" w:color="000000"/>
              <w:left w:val="single" w:sz="6" w:space="0" w:color="000000"/>
              <w:bottom w:val="nil"/>
              <w:right w:val="single" w:sz="6" w:space="0" w:color="000000"/>
            </w:tcBorders>
          </w:tcPr>
          <w:p w14:paraId="5A3FB152" w14:textId="77777777" w:rsidR="0067704F" w:rsidRPr="0067704F" w:rsidRDefault="0067704F" w:rsidP="0067704F">
            <w:pPr>
              <w:autoSpaceDE w:val="0"/>
              <w:autoSpaceDN w:val="0"/>
              <w:adjustRightInd w:val="0"/>
              <w:spacing w:before="100" w:after="56" w:line="240" w:lineRule="auto"/>
              <w:jc w:val="center"/>
              <w:rPr>
                <w:rFonts w:ascii="Times New Roman" w:hAnsi="Times New Roman" w:cs="Times New Roman"/>
                <w:sz w:val="24"/>
                <w:szCs w:val="24"/>
              </w:rPr>
            </w:pPr>
            <w:r w:rsidRPr="0067704F">
              <w:rPr>
                <w:rFonts w:ascii="Times New Roman" w:hAnsi="Times New Roman" w:cs="Times New Roman"/>
                <w:sz w:val="24"/>
                <w:szCs w:val="24"/>
              </w:rPr>
              <w:t>Instruction No.</w:t>
            </w:r>
          </w:p>
        </w:tc>
      </w:tr>
      <w:tr w:rsidR="0067704F" w:rsidRPr="0067704F" w14:paraId="51207E22" w14:textId="77777777" w:rsidTr="00487D46">
        <w:trPr>
          <w:cantSplit/>
        </w:trPr>
        <w:tc>
          <w:tcPr>
            <w:tcW w:w="2700" w:type="dxa"/>
            <w:vMerge w:val="restart"/>
            <w:tcBorders>
              <w:top w:val="single" w:sz="6" w:space="0" w:color="000000"/>
              <w:left w:val="single" w:sz="6" w:space="0" w:color="000000"/>
              <w:bottom w:val="nil"/>
              <w:right w:val="nil"/>
            </w:tcBorders>
            <w:vAlign w:val="center"/>
          </w:tcPr>
          <w:p w14:paraId="21E7E27A"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First Amendment</w:t>
            </w:r>
          </w:p>
        </w:tc>
        <w:tc>
          <w:tcPr>
            <w:tcW w:w="4860" w:type="dxa"/>
            <w:gridSpan w:val="2"/>
            <w:tcBorders>
              <w:top w:val="single" w:sz="6" w:space="0" w:color="000000"/>
              <w:left w:val="single" w:sz="6" w:space="0" w:color="000000"/>
              <w:bottom w:val="nil"/>
              <w:right w:val="nil"/>
            </w:tcBorders>
          </w:tcPr>
          <w:p w14:paraId="57E82F7F"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Public Employee Speech</w:t>
            </w:r>
          </w:p>
        </w:tc>
        <w:tc>
          <w:tcPr>
            <w:tcW w:w="1800" w:type="dxa"/>
            <w:tcBorders>
              <w:top w:val="single" w:sz="6" w:space="0" w:color="000000"/>
              <w:left w:val="single" w:sz="6" w:space="0" w:color="000000"/>
              <w:bottom w:val="nil"/>
              <w:right w:val="single" w:sz="6" w:space="0" w:color="000000"/>
            </w:tcBorders>
          </w:tcPr>
          <w:p w14:paraId="0172F86D"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9.9</w:t>
            </w:r>
          </w:p>
          <w:p w14:paraId="32B1268B" w14:textId="77777777" w:rsidR="0067704F" w:rsidRPr="0067704F" w:rsidRDefault="0067704F" w:rsidP="0067704F">
            <w:pPr>
              <w:autoSpaceDE w:val="0"/>
              <w:autoSpaceDN w:val="0"/>
              <w:adjustRightInd w:val="0"/>
              <w:spacing w:after="56" w:line="240" w:lineRule="auto"/>
              <w:rPr>
                <w:rFonts w:ascii="Times New Roman" w:hAnsi="Times New Roman" w:cs="Times New Roman"/>
                <w:sz w:val="24"/>
                <w:szCs w:val="24"/>
              </w:rPr>
            </w:pPr>
            <w:r w:rsidRPr="0067704F">
              <w:rPr>
                <w:rFonts w:ascii="Times New Roman" w:hAnsi="Times New Roman" w:cs="Times New Roman"/>
                <w:sz w:val="24"/>
                <w:szCs w:val="24"/>
              </w:rPr>
              <w:t>9.10</w:t>
            </w:r>
          </w:p>
        </w:tc>
      </w:tr>
      <w:tr w:rsidR="0067704F" w:rsidRPr="0067704F" w14:paraId="55D37DF1" w14:textId="77777777" w:rsidTr="00487D46">
        <w:trPr>
          <w:cantSplit/>
          <w:trHeight w:val="453"/>
        </w:trPr>
        <w:tc>
          <w:tcPr>
            <w:tcW w:w="2700" w:type="dxa"/>
            <w:vMerge/>
            <w:tcBorders>
              <w:top w:val="single" w:sz="6" w:space="0" w:color="000000"/>
              <w:left w:val="single" w:sz="6" w:space="0" w:color="000000"/>
              <w:bottom w:val="nil"/>
              <w:right w:val="nil"/>
            </w:tcBorders>
          </w:tcPr>
          <w:p w14:paraId="6693C94F"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4E9ED3E2"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“Citizen” Plaintiff</w:t>
            </w:r>
          </w:p>
        </w:tc>
        <w:tc>
          <w:tcPr>
            <w:tcW w:w="1800" w:type="dxa"/>
            <w:tcBorders>
              <w:top w:val="single" w:sz="6" w:space="0" w:color="000000"/>
              <w:left w:val="single" w:sz="6" w:space="0" w:color="000000"/>
              <w:bottom w:val="nil"/>
              <w:right w:val="single" w:sz="6" w:space="0" w:color="000000"/>
            </w:tcBorders>
          </w:tcPr>
          <w:p w14:paraId="3E336C6E"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9.11</w:t>
            </w:r>
          </w:p>
        </w:tc>
      </w:tr>
      <w:tr w:rsidR="0067704F" w:rsidRPr="0067704F" w14:paraId="65C73995" w14:textId="77777777" w:rsidTr="00487D46">
        <w:trPr>
          <w:cantSplit/>
        </w:trPr>
        <w:tc>
          <w:tcPr>
            <w:tcW w:w="2700" w:type="dxa"/>
            <w:vMerge w:val="restart"/>
            <w:tcBorders>
              <w:top w:val="single" w:sz="6" w:space="0" w:color="000000"/>
              <w:left w:val="single" w:sz="6" w:space="0" w:color="000000"/>
              <w:bottom w:val="nil"/>
              <w:right w:val="nil"/>
            </w:tcBorders>
            <w:vAlign w:val="center"/>
          </w:tcPr>
          <w:p w14:paraId="2D93796B"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Fourth Amendment</w:t>
            </w:r>
          </w:p>
          <w:p w14:paraId="0DA5C2CF"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Unreasonable Search</w:t>
            </w:r>
          </w:p>
        </w:tc>
        <w:tc>
          <w:tcPr>
            <w:tcW w:w="4860" w:type="dxa"/>
            <w:gridSpan w:val="2"/>
            <w:tcBorders>
              <w:top w:val="single" w:sz="6" w:space="0" w:color="000000"/>
              <w:left w:val="single" w:sz="6" w:space="0" w:color="000000"/>
              <w:bottom w:val="nil"/>
              <w:right w:val="nil"/>
            </w:tcBorders>
          </w:tcPr>
          <w:p w14:paraId="2B2F36DF"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roofErr w:type="gramStart"/>
            <w:r w:rsidRPr="0067704F">
              <w:rPr>
                <w:rFonts w:ascii="Times New Roman" w:hAnsi="Times New Roman" w:cs="Times New Roman"/>
                <w:sz w:val="24"/>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4D58E147"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9.12</w:t>
            </w:r>
          </w:p>
        </w:tc>
      </w:tr>
      <w:tr w:rsidR="0067704F" w:rsidRPr="0067704F" w14:paraId="33ED6103" w14:textId="77777777" w:rsidTr="00487D46">
        <w:trPr>
          <w:cantSplit/>
          <w:trHeight w:val="727"/>
        </w:trPr>
        <w:tc>
          <w:tcPr>
            <w:tcW w:w="2700" w:type="dxa"/>
            <w:vMerge/>
            <w:tcBorders>
              <w:top w:val="single" w:sz="6" w:space="0" w:color="000000"/>
              <w:left w:val="single" w:sz="6" w:space="0" w:color="000000"/>
              <w:bottom w:val="nil"/>
              <w:right w:val="nil"/>
            </w:tcBorders>
          </w:tcPr>
          <w:p w14:paraId="26F8EC56"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1890" w:type="dxa"/>
            <w:vMerge w:val="restart"/>
            <w:tcBorders>
              <w:top w:val="single" w:sz="6" w:space="0" w:color="000000"/>
              <w:left w:val="single" w:sz="6" w:space="0" w:color="000000"/>
              <w:bottom w:val="nil"/>
              <w:right w:val="nil"/>
            </w:tcBorders>
          </w:tcPr>
          <w:p w14:paraId="368F659A"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p>
          <w:p w14:paraId="36398DED"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590693CA"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Exception to Warrant Requirement</w:t>
            </w:r>
          </w:p>
          <w:p w14:paraId="6C608C4A" w14:textId="77777777" w:rsidR="0067704F" w:rsidRPr="0067704F" w:rsidRDefault="0067704F" w:rsidP="0067704F">
            <w:pPr>
              <w:autoSpaceDE w:val="0"/>
              <w:autoSpaceDN w:val="0"/>
              <w:adjustRightInd w:val="0"/>
              <w:spacing w:after="56" w:line="240" w:lineRule="auto"/>
              <w:rPr>
                <w:rFonts w:ascii="Times New Roman" w:hAnsi="Times New Roman" w:cs="Times New Roman"/>
                <w:sz w:val="24"/>
                <w:szCs w:val="24"/>
              </w:rPr>
            </w:pPr>
          </w:p>
        </w:tc>
        <w:tc>
          <w:tcPr>
            <w:tcW w:w="2970" w:type="dxa"/>
            <w:tcBorders>
              <w:top w:val="single" w:sz="6" w:space="0" w:color="000000"/>
              <w:left w:val="single" w:sz="6" w:space="0" w:color="000000"/>
              <w:bottom w:val="nil"/>
              <w:right w:val="nil"/>
            </w:tcBorders>
          </w:tcPr>
          <w:p w14:paraId="4EF2DFE7"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Search Incident to Arrest</w:t>
            </w:r>
          </w:p>
        </w:tc>
        <w:tc>
          <w:tcPr>
            <w:tcW w:w="1800" w:type="dxa"/>
            <w:tcBorders>
              <w:top w:val="single" w:sz="6" w:space="0" w:color="000000"/>
              <w:left w:val="single" w:sz="6" w:space="0" w:color="000000"/>
              <w:bottom w:val="nil"/>
              <w:right w:val="single" w:sz="6" w:space="0" w:color="000000"/>
            </w:tcBorders>
          </w:tcPr>
          <w:p w14:paraId="568485D8"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 xml:space="preserve">9.13 </w:t>
            </w:r>
          </w:p>
          <w:p w14:paraId="350FA302" w14:textId="77777777" w:rsidR="0067704F" w:rsidRPr="0067704F" w:rsidRDefault="0067704F" w:rsidP="0067704F">
            <w:pPr>
              <w:autoSpaceDE w:val="0"/>
              <w:autoSpaceDN w:val="0"/>
              <w:adjustRightInd w:val="0"/>
              <w:spacing w:after="56" w:line="240" w:lineRule="auto"/>
              <w:rPr>
                <w:rFonts w:ascii="Times New Roman" w:hAnsi="Times New Roman" w:cs="Times New Roman"/>
                <w:sz w:val="24"/>
                <w:szCs w:val="24"/>
              </w:rPr>
            </w:pPr>
            <w:r w:rsidRPr="0067704F">
              <w:rPr>
                <w:rFonts w:ascii="Times New Roman" w:hAnsi="Times New Roman" w:cs="Times New Roman"/>
                <w:sz w:val="24"/>
                <w:szCs w:val="24"/>
              </w:rPr>
              <w:t>9.14 (vehicle)</w:t>
            </w:r>
          </w:p>
        </w:tc>
      </w:tr>
      <w:tr w:rsidR="0067704F" w:rsidRPr="0067704F" w14:paraId="2CC015F1" w14:textId="77777777" w:rsidTr="00487D46">
        <w:trPr>
          <w:cantSplit/>
        </w:trPr>
        <w:tc>
          <w:tcPr>
            <w:tcW w:w="2700" w:type="dxa"/>
            <w:vMerge/>
            <w:tcBorders>
              <w:top w:val="single" w:sz="6" w:space="0" w:color="000000"/>
              <w:left w:val="single" w:sz="6" w:space="0" w:color="000000"/>
              <w:bottom w:val="nil"/>
              <w:right w:val="nil"/>
            </w:tcBorders>
          </w:tcPr>
          <w:p w14:paraId="34AF8F66"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1890" w:type="dxa"/>
            <w:vMerge/>
            <w:tcBorders>
              <w:top w:val="single" w:sz="6" w:space="0" w:color="000000"/>
              <w:left w:val="single" w:sz="6" w:space="0" w:color="000000"/>
              <w:bottom w:val="nil"/>
              <w:right w:val="nil"/>
            </w:tcBorders>
          </w:tcPr>
          <w:p w14:paraId="4E1D17B1"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2970" w:type="dxa"/>
            <w:tcBorders>
              <w:top w:val="single" w:sz="6" w:space="0" w:color="000000"/>
              <w:left w:val="single" w:sz="6" w:space="0" w:color="000000"/>
              <w:bottom w:val="nil"/>
              <w:right w:val="nil"/>
            </w:tcBorders>
          </w:tcPr>
          <w:p w14:paraId="4D22C0C2"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Consent</w:t>
            </w:r>
          </w:p>
        </w:tc>
        <w:tc>
          <w:tcPr>
            <w:tcW w:w="1800" w:type="dxa"/>
            <w:tcBorders>
              <w:top w:val="single" w:sz="6" w:space="0" w:color="000000"/>
              <w:left w:val="single" w:sz="6" w:space="0" w:color="000000"/>
              <w:bottom w:val="nil"/>
              <w:right w:val="single" w:sz="6" w:space="0" w:color="000000"/>
            </w:tcBorders>
          </w:tcPr>
          <w:p w14:paraId="4949BC0D"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9.15</w:t>
            </w:r>
          </w:p>
        </w:tc>
      </w:tr>
      <w:tr w:rsidR="0067704F" w:rsidRPr="0067704F" w14:paraId="39214C98" w14:textId="77777777" w:rsidTr="00487D46">
        <w:trPr>
          <w:cantSplit/>
        </w:trPr>
        <w:tc>
          <w:tcPr>
            <w:tcW w:w="2700" w:type="dxa"/>
            <w:vMerge/>
            <w:tcBorders>
              <w:top w:val="single" w:sz="6" w:space="0" w:color="000000"/>
              <w:left w:val="single" w:sz="6" w:space="0" w:color="000000"/>
              <w:bottom w:val="nil"/>
              <w:right w:val="nil"/>
            </w:tcBorders>
          </w:tcPr>
          <w:p w14:paraId="60168282"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1890" w:type="dxa"/>
            <w:vMerge/>
            <w:tcBorders>
              <w:top w:val="single" w:sz="6" w:space="0" w:color="000000"/>
              <w:left w:val="single" w:sz="6" w:space="0" w:color="000000"/>
              <w:bottom w:val="nil"/>
              <w:right w:val="nil"/>
            </w:tcBorders>
          </w:tcPr>
          <w:p w14:paraId="5A99ABC3"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2970" w:type="dxa"/>
            <w:tcBorders>
              <w:top w:val="single" w:sz="6" w:space="0" w:color="000000"/>
              <w:left w:val="single" w:sz="6" w:space="0" w:color="000000"/>
              <w:bottom w:val="nil"/>
              <w:right w:val="nil"/>
            </w:tcBorders>
          </w:tcPr>
          <w:p w14:paraId="545F3F51"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Exigent Circumstances</w:t>
            </w:r>
          </w:p>
        </w:tc>
        <w:tc>
          <w:tcPr>
            <w:tcW w:w="1800" w:type="dxa"/>
            <w:tcBorders>
              <w:top w:val="single" w:sz="6" w:space="0" w:color="000000"/>
              <w:left w:val="single" w:sz="6" w:space="0" w:color="000000"/>
              <w:bottom w:val="nil"/>
              <w:right w:val="single" w:sz="6" w:space="0" w:color="000000"/>
            </w:tcBorders>
          </w:tcPr>
          <w:p w14:paraId="650CDA58"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9.16</w:t>
            </w:r>
          </w:p>
        </w:tc>
      </w:tr>
      <w:tr w:rsidR="0067704F" w:rsidRPr="0067704F" w14:paraId="3838E2AF" w14:textId="77777777" w:rsidTr="00487D46">
        <w:trPr>
          <w:cantSplit/>
        </w:trPr>
        <w:tc>
          <w:tcPr>
            <w:tcW w:w="2700" w:type="dxa"/>
            <w:vMerge/>
            <w:tcBorders>
              <w:top w:val="single" w:sz="6" w:space="0" w:color="000000"/>
              <w:left w:val="single" w:sz="6" w:space="0" w:color="000000"/>
              <w:bottom w:val="nil"/>
              <w:right w:val="nil"/>
            </w:tcBorders>
          </w:tcPr>
          <w:p w14:paraId="4D8428E7"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1890" w:type="dxa"/>
            <w:vMerge/>
            <w:tcBorders>
              <w:top w:val="single" w:sz="6" w:space="0" w:color="000000"/>
              <w:left w:val="single" w:sz="6" w:space="0" w:color="000000"/>
              <w:bottom w:val="nil"/>
              <w:right w:val="nil"/>
            </w:tcBorders>
          </w:tcPr>
          <w:p w14:paraId="6221FCE8"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2970" w:type="dxa"/>
            <w:tcBorders>
              <w:top w:val="single" w:sz="6" w:space="0" w:color="000000"/>
              <w:left w:val="single" w:sz="6" w:space="0" w:color="000000"/>
              <w:bottom w:val="nil"/>
              <w:right w:val="nil"/>
            </w:tcBorders>
          </w:tcPr>
          <w:p w14:paraId="4CF04C10"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Emergency Aid</w:t>
            </w:r>
          </w:p>
        </w:tc>
        <w:tc>
          <w:tcPr>
            <w:tcW w:w="1800" w:type="dxa"/>
            <w:tcBorders>
              <w:top w:val="single" w:sz="6" w:space="0" w:color="000000"/>
              <w:left w:val="single" w:sz="6" w:space="0" w:color="000000"/>
              <w:bottom w:val="nil"/>
              <w:right w:val="single" w:sz="6" w:space="0" w:color="000000"/>
            </w:tcBorders>
          </w:tcPr>
          <w:p w14:paraId="39A2DE5A"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9.17</w:t>
            </w:r>
          </w:p>
        </w:tc>
      </w:tr>
      <w:tr w:rsidR="0067704F" w:rsidRPr="0067704F" w14:paraId="33535B3E" w14:textId="77777777" w:rsidTr="00487D46">
        <w:trPr>
          <w:cantSplit/>
        </w:trPr>
        <w:tc>
          <w:tcPr>
            <w:tcW w:w="2700" w:type="dxa"/>
            <w:vMerge/>
            <w:tcBorders>
              <w:top w:val="single" w:sz="6" w:space="0" w:color="000000"/>
              <w:left w:val="single" w:sz="6" w:space="0" w:color="000000"/>
              <w:bottom w:val="nil"/>
              <w:right w:val="nil"/>
            </w:tcBorders>
          </w:tcPr>
          <w:p w14:paraId="795D320E"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0756452A"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13A81C53"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9.17A</w:t>
            </w:r>
          </w:p>
        </w:tc>
      </w:tr>
      <w:tr w:rsidR="0067704F" w:rsidRPr="0067704F" w14:paraId="66524B6C" w14:textId="77777777" w:rsidTr="00487D46">
        <w:trPr>
          <w:cantSplit/>
        </w:trPr>
        <w:tc>
          <w:tcPr>
            <w:tcW w:w="2700" w:type="dxa"/>
            <w:vMerge w:val="restart"/>
            <w:tcBorders>
              <w:top w:val="single" w:sz="6" w:space="0" w:color="000000"/>
              <w:left w:val="single" w:sz="6" w:space="0" w:color="000000"/>
              <w:bottom w:val="nil"/>
              <w:right w:val="nil"/>
            </w:tcBorders>
            <w:vAlign w:val="center"/>
          </w:tcPr>
          <w:p w14:paraId="1FE0311E"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Fourth Amendment</w:t>
            </w:r>
          </w:p>
          <w:p w14:paraId="76C90C55"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Unreasonable Seizure of Property</w:t>
            </w:r>
          </w:p>
        </w:tc>
        <w:tc>
          <w:tcPr>
            <w:tcW w:w="4860" w:type="dxa"/>
            <w:gridSpan w:val="2"/>
            <w:tcBorders>
              <w:top w:val="single" w:sz="6" w:space="0" w:color="000000"/>
              <w:left w:val="single" w:sz="6" w:space="0" w:color="000000"/>
              <w:bottom w:val="nil"/>
              <w:right w:val="nil"/>
            </w:tcBorders>
          </w:tcPr>
          <w:p w14:paraId="19EB212D"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roofErr w:type="gramStart"/>
            <w:r w:rsidRPr="0067704F">
              <w:rPr>
                <w:rFonts w:ascii="Times New Roman" w:hAnsi="Times New Roman" w:cs="Times New Roman"/>
                <w:sz w:val="24"/>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6C647E68"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9.18</w:t>
            </w:r>
          </w:p>
        </w:tc>
      </w:tr>
      <w:tr w:rsidR="0067704F" w:rsidRPr="0067704F" w14:paraId="37D83F08" w14:textId="77777777" w:rsidTr="00487D46">
        <w:trPr>
          <w:cantSplit/>
        </w:trPr>
        <w:tc>
          <w:tcPr>
            <w:tcW w:w="2700" w:type="dxa"/>
            <w:vMerge/>
            <w:tcBorders>
              <w:top w:val="single" w:sz="6" w:space="0" w:color="000000"/>
              <w:left w:val="single" w:sz="6" w:space="0" w:color="000000"/>
              <w:bottom w:val="nil"/>
              <w:right w:val="nil"/>
            </w:tcBorders>
          </w:tcPr>
          <w:p w14:paraId="7E2460F2"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54A827A3"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52057EA4"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9.19</w:t>
            </w:r>
          </w:p>
        </w:tc>
      </w:tr>
      <w:tr w:rsidR="0067704F" w:rsidRPr="0067704F" w14:paraId="49EAA590" w14:textId="77777777" w:rsidTr="00487D46">
        <w:trPr>
          <w:cantSplit/>
        </w:trPr>
        <w:tc>
          <w:tcPr>
            <w:tcW w:w="2700" w:type="dxa"/>
            <w:vMerge w:val="restart"/>
            <w:tcBorders>
              <w:top w:val="single" w:sz="6" w:space="0" w:color="000000"/>
              <w:left w:val="single" w:sz="6" w:space="0" w:color="000000"/>
              <w:bottom w:val="nil"/>
              <w:right w:val="nil"/>
            </w:tcBorders>
            <w:vAlign w:val="center"/>
          </w:tcPr>
          <w:p w14:paraId="7DF6ED7E"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Fourth Amendment</w:t>
            </w:r>
          </w:p>
          <w:p w14:paraId="050207F1"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Unreasonable Seizure of Person</w:t>
            </w:r>
          </w:p>
        </w:tc>
        <w:tc>
          <w:tcPr>
            <w:tcW w:w="4860" w:type="dxa"/>
            <w:gridSpan w:val="2"/>
            <w:tcBorders>
              <w:top w:val="single" w:sz="6" w:space="0" w:color="000000"/>
              <w:left w:val="single" w:sz="6" w:space="0" w:color="000000"/>
              <w:bottom w:val="nil"/>
              <w:right w:val="nil"/>
            </w:tcBorders>
          </w:tcPr>
          <w:p w14:paraId="39F7641F"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roofErr w:type="gramStart"/>
            <w:r w:rsidRPr="0067704F">
              <w:rPr>
                <w:rFonts w:ascii="Times New Roman" w:hAnsi="Times New Roman" w:cs="Times New Roman"/>
                <w:sz w:val="24"/>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62C8BC3F"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9.20</w:t>
            </w:r>
          </w:p>
        </w:tc>
      </w:tr>
      <w:tr w:rsidR="0067704F" w:rsidRPr="0067704F" w14:paraId="136E52C7" w14:textId="77777777" w:rsidTr="00487D46">
        <w:trPr>
          <w:cantSplit/>
        </w:trPr>
        <w:tc>
          <w:tcPr>
            <w:tcW w:w="2700" w:type="dxa"/>
            <w:vMerge/>
            <w:tcBorders>
              <w:top w:val="single" w:sz="6" w:space="0" w:color="000000"/>
              <w:left w:val="single" w:sz="6" w:space="0" w:color="000000"/>
              <w:bottom w:val="nil"/>
              <w:right w:val="nil"/>
            </w:tcBorders>
          </w:tcPr>
          <w:p w14:paraId="49DE55A3"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71881D43"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i/>
                <w:iCs/>
                <w:sz w:val="24"/>
                <w:szCs w:val="24"/>
              </w:rPr>
            </w:pPr>
            <w:r w:rsidRPr="0067704F">
              <w:rPr>
                <w:rFonts w:ascii="Times New Roman" w:hAnsi="Times New Roman" w:cs="Times New Roman"/>
                <w:sz w:val="24"/>
                <w:szCs w:val="24"/>
              </w:rPr>
              <w:t xml:space="preserve">Exception to Warrant Requirement – </w:t>
            </w:r>
          </w:p>
          <w:p w14:paraId="0DD78562" w14:textId="77777777" w:rsidR="0067704F" w:rsidRPr="0067704F" w:rsidRDefault="0067704F" w:rsidP="0067704F">
            <w:pPr>
              <w:autoSpaceDE w:val="0"/>
              <w:autoSpaceDN w:val="0"/>
              <w:adjustRightInd w:val="0"/>
              <w:spacing w:after="56" w:line="240" w:lineRule="auto"/>
              <w:rPr>
                <w:rFonts w:ascii="Times New Roman" w:hAnsi="Times New Roman" w:cs="Times New Roman"/>
                <w:sz w:val="24"/>
                <w:szCs w:val="24"/>
              </w:rPr>
            </w:pPr>
            <w:r w:rsidRPr="0067704F">
              <w:rPr>
                <w:rFonts w:ascii="Times New Roman" w:hAnsi="Times New Roman" w:cs="Times New Roman"/>
                <w:i/>
                <w:iCs/>
                <w:sz w:val="24"/>
                <w:szCs w:val="24"/>
              </w:rPr>
              <w:t>Terry v. Ohio</w:t>
            </w:r>
          </w:p>
        </w:tc>
        <w:tc>
          <w:tcPr>
            <w:tcW w:w="1800" w:type="dxa"/>
            <w:tcBorders>
              <w:top w:val="single" w:sz="6" w:space="0" w:color="000000"/>
              <w:left w:val="single" w:sz="6" w:space="0" w:color="000000"/>
              <w:bottom w:val="nil"/>
              <w:right w:val="single" w:sz="6" w:space="0" w:color="000000"/>
            </w:tcBorders>
          </w:tcPr>
          <w:p w14:paraId="2024C5C3"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9.21 (stop)</w:t>
            </w:r>
          </w:p>
          <w:p w14:paraId="3DC3966B" w14:textId="77777777" w:rsidR="0067704F" w:rsidRPr="0067704F" w:rsidRDefault="0067704F" w:rsidP="0067704F">
            <w:pPr>
              <w:autoSpaceDE w:val="0"/>
              <w:autoSpaceDN w:val="0"/>
              <w:adjustRightInd w:val="0"/>
              <w:spacing w:after="56" w:line="240" w:lineRule="auto"/>
              <w:rPr>
                <w:rFonts w:ascii="Times New Roman" w:hAnsi="Times New Roman" w:cs="Times New Roman"/>
                <w:sz w:val="24"/>
                <w:szCs w:val="24"/>
              </w:rPr>
            </w:pPr>
            <w:r w:rsidRPr="0067704F">
              <w:rPr>
                <w:rFonts w:ascii="Times New Roman" w:hAnsi="Times New Roman" w:cs="Times New Roman"/>
                <w:sz w:val="24"/>
                <w:szCs w:val="24"/>
              </w:rPr>
              <w:t>9.22 (frisk)</w:t>
            </w:r>
          </w:p>
        </w:tc>
      </w:tr>
      <w:tr w:rsidR="0067704F" w:rsidRPr="0067704F" w14:paraId="173E02A7" w14:textId="77777777" w:rsidTr="00487D46">
        <w:trPr>
          <w:cantSplit/>
        </w:trPr>
        <w:tc>
          <w:tcPr>
            <w:tcW w:w="2700" w:type="dxa"/>
            <w:vMerge/>
            <w:tcBorders>
              <w:top w:val="single" w:sz="6" w:space="0" w:color="000000"/>
              <w:left w:val="single" w:sz="6" w:space="0" w:color="000000"/>
              <w:bottom w:val="nil"/>
              <w:right w:val="nil"/>
            </w:tcBorders>
          </w:tcPr>
          <w:p w14:paraId="0A6A4FD9"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2B85EA1C"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Probable Cause Arrest</w:t>
            </w:r>
          </w:p>
        </w:tc>
        <w:tc>
          <w:tcPr>
            <w:tcW w:w="1800" w:type="dxa"/>
            <w:tcBorders>
              <w:top w:val="single" w:sz="6" w:space="0" w:color="000000"/>
              <w:left w:val="single" w:sz="6" w:space="0" w:color="000000"/>
              <w:bottom w:val="nil"/>
              <w:right w:val="single" w:sz="6" w:space="0" w:color="000000"/>
            </w:tcBorders>
          </w:tcPr>
          <w:p w14:paraId="4B730971"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9.23</w:t>
            </w:r>
          </w:p>
        </w:tc>
      </w:tr>
      <w:tr w:rsidR="0067704F" w:rsidRPr="0067704F" w14:paraId="3DD6307D" w14:textId="77777777" w:rsidTr="00487D46">
        <w:trPr>
          <w:cantSplit/>
        </w:trPr>
        <w:tc>
          <w:tcPr>
            <w:tcW w:w="2700" w:type="dxa"/>
            <w:vMerge/>
            <w:tcBorders>
              <w:top w:val="single" w:sz="6" w:space="0" w:color="000000"/>
              <w:left w:val="single" w:sz="6" w:space="0" w:color="000000"/>
              <w:bottom w:val="nil"/>
              <w:right w:val="nil"/>
            </w:tcBorders>
          </w:tcPr>
          <w:p w14:paraId="40F888E6"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19A8BD4B"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7972A2A3"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9.24</w:t>
            </w:r>
          </w:p>
        </w:tc>
      </w:tr>
      <w:tr w:rsidR="0067704F" w:rsidRPr="0067704F" w14:paraId="14EB8B59" w14:textId="77777777" w:rsidTr="00487D46">
        <w:trPr>
          <w:cantSplit/>
        </w:trPr>
        <w:tc>
          <w:tcPr>
            <w:tcW w:w="2700" w:type="dxa"/>
            <w:vMerge/>
            <w:tcBorders>
              <w:top w:val="single" w:sz="6" w:space="0" w:color="000000"/>
              <w:left w:val="single" w:sz="6" w:space="0" w:color="000000"/>
              <w:bottom w:val="nil"/>
              <w:right w:val="nil"/>
            </w:tcBorders>
          </w:tcPr>
          <w:p w14:paraId="5D0F0D31"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2579EC37"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Excessive Force</w:t>
            </w:r>
          </w:p>
        </w:tc>
        <w:tc>
          <w:tcPr>
            <w:tcW w:w="1800" w:type="dxa"/>
            <w:tcBorders>
              <w:top w:val="single" w:sz="6" w:space="0" w:color="000000"/>
              <w:left w:val="single" w:sz="6" w:space="0" w:color="000000"/>
              <w:bottom w:val="nil"/>
              <w:right w:val="single" w:sz="6" w:space="0" w:color="000000"/>
            </w:tcBorders>
          </w:tcPr>
          <w:p w14:paraId="5167C489"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9.25</w:t>
            </w:r>
          </w:p>
        </w:tc>
      </w:tr>
      <w:tr w:rsidR="00124E24" w:rsidRPr="0067704F" w14:paraId="0E74D325" w14:textId="77777777" w:rsidTr="00487D46">
        <w:trPr>
          <w:cantSplit/>
        </w:trPr>
        <w:tc>
          <w:tcPr>
            <w:tcW w:w="2700" w:type="dxa"/>
            <w:tcBorders>
              <w:top w:val="single" w:sz="6" w:space="0" w:color="000000"/>
              <w:left w:val="single" w:sz="6" w:space="0" w:color="000000"/>
              <w:bottom w:val="nil"/>
              <w:right w:val="nil"/>
            </w:tcBorders>
          </w:tcPr>
          <w:p w14:paraId="1A63878A" w14:textId="657C437C" w:rsidR="00124E24" w:rsidRPr="0067704F" w:rsidRDefault="00124E24" w:rsidP="00124E24">
            <w:pPr>
              <w:autoSpaceDE w:val="0"/>
              <w:autoSpaceDN w:val="0"/>
              <w:adjustRightInd w:val="0"/>
              <w:spacing w:before="100" w:after="56" w:line="240" w:lineRule="auto"/>
              <w:rPr>
                <w:rFonts w:ascii="Times New Roman" w:hAnsi="Times New Roman" w:cs="Times New Roman"/>
                <w:sz w:val="24"/>
                <w:szCs w:val="24"/>
              </w:rPr>
            </w:pPr>
            <w:r>
              <w:rPr>
                <w:rFonts w:ascii="Times New Roman" w:hAnsi="Times New Roman" w:cs="Times New Roman"/>
                <w:sz w:val="24"/>
                <w:szCs w:val="24"/>
              </w:rPr>
              <w:t>Sixth Amendment</w:t>
            </w:r>
          </w:p>
        </w:tc>
        <w:tc>
          <w:tcPr>
            <w:tcW w:w="4860" w:type="dxa"/>
            <w:gridSpan w:val="2"/>
            <w:tcBorders>
              <w:top w:val="single" w:sz="6" w:space="0" w:color="000000"/>
              <w:left w:val="single" w:sz="6" w:space="0" w:color="000000"/>
              <w:bottom w:val="nil"/>
              <w:right w:val="nil"/>
            </w:tcBorders>
          </w:tcPr>
          <w:p w14:paraId="77536CC1" w14:textId="554D51DE" w:rsidR="00124E24" w:rsidRPr="00124E24" w:rsidRDefault="00124E24" w:rsidP="00124E24">
            <w:pPr>
              <w:autoSpaceDE w:val="0"/>
              <w:autoSpaceDN w:val="0"/>
              <w:adjustRightInd w:val="0"/>
              <w:spacing w:before="100" w:after="56" w:line="240" w:lineRule="auto"/>
              <w:rPr>
                <w:rFonts w:ascii="Times New Roman" w:hAnsi="Times New Roman" w:cs="Times New Roman"/>
                <w:sz w:val="24"/>
                <w:szCs w:val="24"/>
              </w:rPr>
            </w:pPr>
            <w:r w:rsidRPr="00124E24">
              <w:rPr>
                <w:rFonts w:ascii="Times New Roman" w:hAnsi="Times New Roman" w:cs="Times New Roman"/>
                <w:sz w:val="24"/>
                <w:szCs w:val="24"/>
              </w:rPr>
              <w:t>Interference with Witness</w:t>
            </w:r>
          </w:p>
        </w:tc>
        <w:tc>
          <w:tcPr>
            <w:tcW w:w="1800" w:type="dxa"/>
            <w:tcBorders>
              <w:top w:val="single" w:sz="6" w:space="0" w:color="000000"/>
              <w:left w:val="single" w:sz="6" w:space="0" w:color="000000"/>
              <w:bottom w:val="nil"/>
              <w:right w:val="single" w:sz="6" w:space="0" w:color="000000"/>
            </w:tcBorders>
          </w:tcPr>
          <w:p w14:paraId="56802E16" w14:textId="124AA378" w:rsidR="00124E24" w:rsidRPr="00124E24" w:rsidRDefault="00124E24" w:rsidP="00124E24">
            <w:pPr>
              <w:autoSpaceDE w:val="0"/>
              <w:autoSpaceDN w:val="0"/>
              <w:adjustRightInd w:val="0"/>
              <w:spacing w:before="100" w:after="56" w:line="240" w:lineRule="auto"/>
              <w:rPr>
                <w:rFonts w:ascii="Times New Roman" w:hAnsi="Times New Roman" w:cs="Times New Roman"/>
                <w:sz w:val="24"/>
                <w:szCs w:val="24"/>
              </w:rPr>
            </w:pPr>
            <w:r w:rsidRPr="00124E24">
              <w:rPr>
                <w:rFonts w:ascii="Times New Roman" w:hAnsi="Times New Roman" w:cs="Times New Roman"/>
                <w:sz w:val="24"/>
                <w:szCs w:val="24"/>
              </w:rPr>
              <w:t>9.25A</w:t>
            </w:r>
          </w:p>
        </w:tc>
      </w:tr>
      <w:tr w:rsidR="0067704F" w:rsidRPr="0067704F" w14:paraId="1347F582" w14:textId="77777777" w:rsidTr="00487D4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2B4D8510"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Eighth Amendment</w:t>
            </w:r>
          </w:p>
        </w:tc>
        <w:tc>
          <w:tcPr>
            <w:tcW w:w="4860" w:type="dxa"/>
            <w:gridSpan w:val="2"/>
            <w:tcBorders>
              <w:top w:val="single" w:sz="6" w:space="0" w:color="000000"/>
              <w:left w:val="single" w:sz="6" w:space="0" w:color="000000"/>
              <w:bottom w:val="nil"/>
              <w:right w:val="nil"/>
            </w:tcBorders>
          </w:tcPr>
          <w:p w14:paraId="57F68556"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27661BDF"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9.26</w:t>
            </w:r>
          </w:p>
        </w:tc>
      </w:tr>
      <w:tr w:rsidR="0067704F" w:rsidRPr="0067704F" w14:paraId="39F4813B" w14:textId="77777777" w:rsidTr="00487D46">
        <w:trPr>
          <w:cantSplit/>
          <w:trHeight w:val="453"/>
        </w:trPr>
        <w:tc>
          <w:tcPr>
            <w:tcW w:w="2700" w:type="dxa"/>
            <w:vMerge/>
            <w:tcBorders>
              <w:top w:val="single" w:sz="6" w:space="0" w:color="000000"/>
              <w:left w:val="single" w:sz="6" w:space="0" w:color="000000"/>
              <w:bottom w:val="nil"/>
              <w:right w:val="nil"/>
            </w:tcBorders>
          </w:tcPr>
          <w:p w14:paraId="4AA2383E"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4C548F52"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630B0CBC"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9.26A</w:t>
            </w:r>
          </w:p>
        </w:tc>
      </w:tr>
      <w:tr w:rsidR="0067704F" w:rsidRPr="0067704F" w14:paraId="713FD973" w14:textId="77777777" w:rsidTr="00487D46">
        <w:trPr>
          <w:cantSplit/>
          <w:trHeight w:val="766"/>
        </w:trPr>
        <w:tc>
          <w:tcPr>
            <w:tcW w:w="2700" w:type="dxa"/>
            <w:vMerge/>
            <w:tcBorders>
              <w:top w:val="single" w:sz="6" w:space="0" w:color="000000"/>
              <w:left w:val="single" w:sz="6" w:space="0" w:color="000000"/>
              <w:bottom w:val="nil"/>
              <w:right w:val="nil"/>
            </w:tcBorders>
          </w:tcPr>
          <w:p w14:paraId="740E94B7"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6E6C19FA"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Convicted Prisoner’s Claim re Conditions of Confinement/Medical Care</w:t>
            </w:r>
            <w:r w:rsidRPr="0067704F">
              <w:rPr>
                <w:rFonts w:ascii="Times New Roman" w:hAnsi="Times New Roman" w:cs="Times New Roman"/>
                <w:sz w:val="24"/>
                <w:szCs w:val="24"/>
              </w:rPr>
              <w:tab/>
            </w:r>
          </w:p>
        </w:tc>
        <w:tc>
          <w:tcPr>
            <w:tcW w:w="1800" w:type="dxa"/>
            <w:tcBorders>
              <w:top w:val="single" w:sz="6" w:space="0" w:color="000000"/>
              <w:left w:val="single" w:sz="6" w:space="0" w:color="000000"/>
              <w:bottom w:val="nil"/>
              <w:right w:val="single" w:sz="6" w:space="0" w:color="000000"/>
            </w:tcBorders>
          </w:tcPr>
          <w:p w14:paraId="442D826F"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9.27</w:t>
            </w:r>
          </w:p>
          <w:p w14:paraId="20F1A47B" w14:textId="77777777" w:rsidR="0067704F" w:rsidRPr="0067704F" w:rsidRDefault="0067704F" w:rsidP="0067704F">
            <w:pPr>
              <w:autoSpaceDE w:val="0"/>
              <w:autoSpaceDN w:val="0"/>
              <w:adjustRightInd w:val="0"/>
              <w:spacing w:after="56" w:line="240" w:lineRule="auto"/>
              <w:rPr>
                <w:rFonts w:ascii="Times New Roman" w:hAnsi="Times New Roman" w:cs="Times New Roman"/>
                <w:sz w:val="24"/>
                <w:szCs w:val="24"/>
              </w:rPr>
            </w:pPr>
          </w:p>
        </w:tc>
      </w:tr>
      <w:tr w:rsidR="0067704F" w:rsidRPr="0067704F" w14:paraId="09752DDD" w14:textId="77777777" w:rsidTr="00487D46">
        <w:trPr>
          <w:cantSplit/>
          <w:trHeight w:val="516"/>
        </w:trPr>
        <w:tc>
          <w:tcPr>
            <w:tcW w:w="2700" w:type="dxa"/>
            <w:vMerge/>
            <w:tcBorders>
              <w:top w:val="single" w:sz="6" w:space="0" w:color="000000"/>
              <w:left w:val="single" w:sz="6" w:space="0" w:color="000000"/>
              <w:bottom w:val="single" w:sz="6" w:space="0" w:color="000000"/>
              <w:right w:val="nil"/>
            </w:tcBorders>
          </w:tcPr>
          <w:p w14:paraId="3985F7A8"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single" w:sz="6" w:space="0" w:color="000000"/>
              <w:right w:val="nil"/>
            </w:tcBorders>
          </w:tcPr>
          <w:p w14:paraId="637AAAA4"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73F141C6" w14:textId="77777777" w:rsidR="0067704F" w:rsidRPr="0067704F" w:rsidRDefault="0067704F" w:rsidP="0067704F">
            <w:pPr>
              <w:autoSpaceDE w:val="0"/>
              <w:autoSpaceDN w:val="0"/>
              <w:adjustRightInd w:val="0"/>
              <w:spacing w:before="100" w:after="56" w:line="240" w:lineRule="auto"/>
              <w:rPr>
                <w:rFonts w:ascii="Times New Roman" w:hAnsi="Times New Roman" w:cs="Times New Roman"/>
                <w:sz w:val="24"/>
                <w:szCs w:val="24"/>
              </w:rPr>
            </w:pPr>
            <w:r w:rsidRPr="0067704F">
              <w:rPr>
                <w:rFonts w:ascii="Times New Roman" w:hAnsi="Times New Roman" w:cs="Times New Roman"/>
                <w:sz w:val="24"/>
                <w:szCs w:val="24"/>
              </w:rPr>
              <w:t>9.28</w:t>
            </w:r>
          </w:p>
        </w:tc>
      </w:tr>
      <w:tr w:rsidR="0067704F" w:rsidRPr="0067704F" w14:paraId="09882AB1" w14:textId="77777777" w:rsidTr="00487D46">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6F6D1E2C"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lastRenderedPageBreak/>
              <w:t>Fourteenth Amendment</w:t>
            </w:r>
          </w:p>
        </w:tc>
        <w:tc>
          <w:tcPr>
            <w:tcW w:w="4860" w:type="dxa"/>
            <w:gridSpan w:val="2"/>
            <w:tcBorders>
              <w:top w:val="single" w:sz="6" w:space="0" w:color="000000"/>
              <w:left w:val="single" w:sz="6" w:space="0" w:color="000000"/>
              <w:bottom w:val="nil"/>
              <w:right w:val="nil"/>
            </w:tcBorders>
          </w:tcPr>
          <w:p w14:paraId="482B623D"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4364997F" w14:textId="77777777" w:rsidR="0067704F" w:rsidRPr="0067704F" w:rsidRDefault="0067704F" w:rsidP="0067704F">
            <w:pPr>
              <w:autoSpaceDE w:val="0"/>
              <w:autoSpaceDN w:val="0"/>
              <w:adjustRightInd w:val="0"/>
              <w:spacing w:before="100" w:after="0" w:line="240" w:lineRule="auto"/>
              <w:rPr>
                <w:rFonts w:ascii="Times New Roman" w:hAnsi="Times New Roman" w:cs="Times New Roman"/>
                <w:sz w:val="24"/>
                <w:szCs w:val="24"/>
              </w:rPr>
            </w:pPr>
            <w:r w:rsidRPr="0067704F">
              <w:rPr>
                <w:rFonts w:ascii="Times New Roman" w:hAnsi="Times New Roman" w:cs="Times New Roman"/>
                <w:sz w:val="24"/>
                <w:szCs w:val="24"/>
              </w:rPr>
              <w:t>9.29</w:t>
            </w:r>
          </w:p>
          <w:p w14:paraId="05618717" w14:textId="77777777" w:rsidR="0067704F" w:rsidRPr="0067704F" w:rsidRDefault="0067704F" w:rsidP="0067704F">
            <w:pPr>
              <w:autoSpaceDE w:val="0"/>
              <w:autoSpaceDN w:val="0"/>
              <w:adjustRightInd w:val="0"/>
              <w:spacing w:after="54" w:line="240" w:lineRule="auto"/>
              <w:rPr>
                <w:rFonts w:ascii="Times New Roman" w:hAnsi="Times New Roman" w:cs="Times New Roman"/>
                <w:sz w:val="24"/>
                <w:szCs w:val="24"/>
              </w:rPr>
            </w:pPr>
          </w:p>
        </w:tc>
      </w:tr>
      <w:tr w:rsidR="0067704F" w:rsidRPr="0067704F" w14:paraId="11C4E356" w14:textId="77777777" w:rsidTr="00487D46">
        <w:trPr>
          <w:cantSplit/>
          <w:trHeight w:val="766"/>
        </w:trPr>
        <w:tc>
          <w:tcPr>
            <w:tcW w:w="2700" w:type="dxa"/>
            <w:vMerge/>
            <w:tcBorders>
              <w:top w:val="single" w:sz="6" w:space="0" w:color="000000"/>
              <w:left w:val="single" w:sz="6" w:space="0" w:color="000000"/>
              <w:bottom w:val="nil"/>
              <w:right w:val="nil"/>
            </w:tcBorders>
          </w:tcPr>
          <w:p w14:paraId="47DA77A8"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232D3A14"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1919E723"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9.30</w:t>
            </w:r>
          </w:p>
        </w:tc>
      </w:tr>
      <w:tr w:rsidR="0067704F" w:rsidRPr="0067704F" w14:paraId="4D30971C" w14:textId="77777777" w:rsidTr="00487D46">
        <w:trPr>
          <w:cantSplit/>
          <w:trHeight w:val="462"/>
        </w:trPr>
        <w:tc>
          <w:tcPr>
            <w:tcW w:w="2700" w:type="dxa"/>
            <w:vMerge/>
            <w:tcBorders>
              <w:top w:val="single" w:sz="6" w:space="0" w:color="000000"/>
              <w:left w:val="single" w:sz="6" w:space="0" w:color="000000"/>
              <w:bottom w:val="nil"/>
              <w:right w:val="nil"/>
            </w:tcBorders>
          </w:tcPr>
          <w:p w14:paraId="495227DE"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6FD05061"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25A88630"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9.31</w:t>
            </w:r>
          </w:p>
        </w:tc>
      </w:tr>
      <w:tr w:rsidR="0067704F" w:rsidRPr="0067704F" w14:paraId="65878266" w14:textId="77777777" w:rsidTr="00487D46">
        <w:trPr>
          <w:cantSplit/>
          <w:trHeight w:val="525"/>
        </w:trPr>
        <w:tc>
          <w:tcPr>
            <w:tcW w:w="2700" w:type="dxa"/>
            <w:vMerge/>
            <w:tcBorders>
              <w:top w:val="single" w:sz="6" w:space="0" w:color="000000"/>
              <w:left w:val="single" w:sz="6" w:space="0" w:color="000000"/>
              <w:bottom w:val="nil"/>
              <w:right w:val="nil"/>
            </w:tcBorders>
          </w:tcPr>
          <w:p w14:paraId="5C21E570"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1B6BD27B"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12767587"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9.32</w:t>
            </w:r>
          </w:p>
        </w:tc>
      </w:tr>
      <w:tr w:rsidR="00124E24" w:rsidRPr="0067704F" w14:paraId="1C0F3D9F" w14:textId="77777777" w:rsidTr="00487D46">
        <w:trPr>
          <w:cantSplit/>
          <w:trHeight w:val="525"/>
        </w:trPr>
        <w:tc>
          <w:tcPr>
            <w:tcW w:w="2700" w:type="dxa"/>
            <w:vMerge/>
            <w:tcBorders>
              <w:top w:val="single" w:sz="6" w:space="0" w:color="000000"/>
              <w:left w:val="single" w:sz="6" w:space="0" w:color="000000"/>
              <w:bottom w:val="nil"/>
              <w:right w:val="nil"/>
            </w:tcBorders>
          </w:tcPr>
          <w:p w14:paraId="01071143" w14:textId="77777777" w:rsidR="00124E24" w:rsidRPr="0067704F" w:rsidRDefault="00124E24" w:rsidP="00124E24">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072DF5AF" w14:textId="554CE730" w:rsidR="00124E24" w:rsidRPr="00124E24" w:rsidRDefault="00124E24" w:rsidP="00124E24">
            <w:pPr>
              <w:autoSpaceDE w:val="0"/>
              <w:autoSpaceDN w:val="0"/>
              <w:adjustRightInd w:val="0"/>
              <w:spacing w:before="100" w:after="54" w:line="240" w:lineRule="auto"/>
              <w:rPr>
                <w:rFonts w:ascii="Times New Roman" w:hAnsi="Times New Roman" w:cs="Times New Roman"/>
                <w:sz w:val="24"/>
                <w:szCs w:val="24"/>
              </w:rPr>
            </w:pPr>
            <w:r w:rsidRPr="00124E24">
              <w:rPr>
                <w:rFonts w:ascii="Times New Roman" w:hAnsi="Times New Roman" w:cs="Times New Roman"/>
                <w:sz w:val="24"/>
                <w:szCs w:val="24"/>
              </w:rPr>
              <w:t>Civil Commitment</w:t>
            </w:r>
          </w:p>
        </w:tc>
        <w:tc>
          <w:tcPr>
            <w:tcW w:w="1800" w:type="dxa"/>
            <w:tcBorders>
              <w:top w:val="single" w:sz="6" w:space="0" w:color="000000"/>
              <w:left w:val="single" w:sz="6" w:space="0" w:color="000000"/>
              <w:bottom w:val="nil"/>
              <w:right w:val="single" w:sz="6" w:space="0" w:color="000000"/>
            </w:tcBorders>
          </w:tcPr>
          <w:p w14:paraId="0936F2DA" w14:textId="024DF7B4" w:rsidR="00124E24" w:rsidRPr="00124E24" w:rsidRDefault="00124E24" w:rsidP="00124E24">
            <w:pPr>
              <w:autoSpaceDE w:val="0"/>
              <w:autoSpaceDN w:val="0"/>
              <w:adjustRightInd w:val="0"/>
              <w:spacing w:before="100" w:after="54" w:line="240" w:lineRule="auto"/>
              <w:rPr>
                <w:rFonts w:ascii="Times New Roman" w:hAnsi="Times New Roman" w:cs="Times New Roman"/>
                <w:sz w:val="24"/>
                <w:szCs w:val="24"/>
              </w:rPr>
            </w:pPr>
            <w:r w:rsidRPr="00124E24">
              <w:rPr>
                <w:rFonts w:ascii="Times New Roman" w:hAnsi="Times New Roman" w:cs="Times New Roman"/>
                <w:sz w:val="24"/>
                <w:szCs w:val="24"/>
              </w:rPr>
              <w:t>9.32A</w:t>
            </w:r>
          </w:p>
        </w:tc>
      </w:tr>
      <w:tr w:rsidR="0067704F" w:rsidRPr="0067704F" w14:paraId="3338DE45" w14:textId="77777777" w:rsidTr="00487D46">
        <w:trPr>
          <w:cantSplit/>
          <w:trHeight w:val="525"/>
        </w:trPr>
        <w:tc>
          <w:tcPr>
            <w:tcW w:w="2700" w:type="dxa"/>
            <w:vMerge/>
            <w:tcBorders>
              <w:top w:val="single" w:sz="6" w:space="0" w:color="000000"/>
              <w:left w:val="single" w:sz="6" w:space="0" w:color="000000"/>
              <w:bottom w:val="nil"/>
              <w:right w:val="nil"/>
            </w:tcBorders>
          </w:tcPr>
          <w:p w14:paraId="1AA27267"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650B89BF"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06B0444C"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9.33</w:t>
            </w:r>
          </w:p>
        </w:tc>
      </w:tr>
      <w:tr w:rsidR="0067704F" w:rsidRPr="0067704F" w14:paraId="69FF541F" w14:textId="77777777" w:rsidTr="00487D46">
        <w:trPr>
          <w:cantSplit/>
          <w:trHeight w:val="525"/>
        </w:trPr>
        <w:tc>
          <w:tcPr>
            <w:tcW w:w="2700" w:type="dxa"/>
            <w:vMerge/>
            <w:tcBorders>
              <w:top w:val="single" w:sz="6" w:space="0" w:color="000000"/>
              <w:left w:val="single" w:sz="6" w:space="0" w:color="000000"/>
              <w:bottom w:val="nil"/>
              <w:right w:val="nil"/>
            </w:tcBorders>
          </w:tcPr>
          <w:p w14:paraId="27B3BB8F"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nil"/>
              <w:right w:val="nil"/>
            </w:tcBorders>
          </w:tcPr>
          <w:p w14:paraId="352F2328"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6C6496F0"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9.33A</w:t>
            </w:r>
          </w:p>
        </w:tc>
      </w:tr>
      <w:tr w:rsidR="0067704F" w:rsidRPr="0067704F" w14:paraId="34F540B6" w14:textId="77777777" w:rsidTr="00487D46">
        <w:trPr>
          <w:cantSplit/>
          <w:trHeight w:val="525"/>
        </w:trPr>
        <w:tc>
          <w:tcPr>
            <w:tcW w:w="2700" w:type="dxa"/>
            <w:vMerge/>
            <w:tcBorders>
              <w:top w:val="single" w:sz="6" w:space="0" w:color="000000"/>
              <w:left w:val="single" w:sz="6" w:space="0" w:color="000000"/>
              <w:bottom w:val="single" w:sz="6" w:space="0" w:color="000000"/>
              <w:right w:val="nil"/>
            </w:tcBorders>
          </w:tcPr>
          <w:p w14:paraId="034B0880"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p>
        </w:tc>
        <w:tc>
          <w:tcPr>
            <w:tcW w:w="4860" w:type="dxa"/>
            <w:gridSpan w:val="2"/>
            <w:tcBorders>
              <w:top w:val="single" w:sz="6" w:space="0" w:color="000000"/>
              <w:left w:val="single" w:sz="6" w:space="0" w:color="000000"/>
              <w:bottom w:val="single" w:sz="6" w:space="0" w:color="000000"/>
              <w:right w:val="nil"/>
            </w:tcBorders>
          </w:tcPr>
          <w:p w14:paraId="7091C4CE"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2337F66C" w14:textId="77777777" w:rsidR="0067704F" w:rsidRPr="0067704F" w:rsidRDefault="0067704F" w:rsidP="0067704F">
            <w:pPr>
              <w:autoSpaceDE w:val="0"/>
              <w:autoSpaceDN w:val="0"/>
              <w:adjustRightInd w:val="0"/>
              <w:spacing w:before="100" w:after="54" w:line="240" w:lineRule="auto"/>
              <w:rPr>
                <w:rFonts w:ascii="Times New Roman" w:hAnsi="Times New Roman" w:cs="Times New Roman"/>
                <w:sz w:val="24"/>
                <w:szCs w:val="24"/>
              </w:rPr>
            </w:pPr>
            <w:r w:rsidRPr="0067704F">
              <w:rPr>
                <w:rFonts w:ascii="Times New Roman" w:hAnsi="Times New Roman" w:cs="Times New Roman"/>
                <w:sz w:val="24"/>
                <w:szCs w:val="24"/>
              </w:rPr>
              <w:t>9.33B</w:t>
            </w:r>
          </w:p>
        </w:tc>
      </w:tr>
    </w:tbl>
    <w:p w14:paraId="3FC057CA"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50F4B9C6"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b/>
          <w:bCs/>
          <w:sz w:val="24"/>
          <w:szCs w:val="24"/>
        </w:rPr>
        <w:t>Person Subject to § 1983 Liability</w:t>
      </w:r>
    </w:p>
    <w:p w14:paraId="5787AF27"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0B575D4A" w14:textId="1C09E265"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It is well settled that a “person” subject to liability can be an individual sued in an individual capacity (</w:t>
      </w:r>
      <w:r w:rsidRPr="0067704F">
        <w:rPr>
          <w:rFonts w:ascii="Times New Roman" w:hAnsi="Times New Roman" w:cs="Times New Roman"/>
          <w:i/>
          <w:iCs/>
          <w:sz w:val="24"/>
          <w:szCs w:val="24"/>
        </w:rPr>
        <w:t>see</w:t>
      </w:r>
      <w:r w:rsidRPr="0067704F">
        <w:rPr>
          <w:rFonts w:ascii="Times New Roman" w:hAnsi="Times New Roman" w:cs="Times New Roman"/>
          <w:sz w:val="24"/>
          <w:szCs w:val="24"/>
        </w:rPr>
        <w:t xml:space="preserve"> </w:t>
      </w:r>
      <w:r w:rsidRPr="0067704F">
        <w:rPr>
          <w:rFonts w:ascii="Times New Roman" w:hAnsi="Times New Roman" w:cs="Times New Roman"/>
          <w:i/>
          <w:iCs/>
          <w:sz w:val="24"/>
          <w:szCs w:val="24"/>
        </w:rPr>
        <w:t>Devereaux v. Abbey</w:t>
      </w:r>
      <w:r w:rsidRPr="0067704F">
        <w:rPr>
          <w:rFonts w:ascii="Times New Roman" w:hAnsi="Times New Roman" w:cs="Times New Roman"/>
          <w:sz w:val="24"/>
          <w:szCs w:val="24"/>
        </w:rPr>
        <w:t>, 263 F.3d 1070, 1074 (9th Cir. 2001) (</w:t>
      </w:r>
      <w:proofErr w:type="spellStart"/>
      <w:r w:rsidRPr="0067704F">
        <w:rPr>
          <w:rFonts w:ascii="Times New Roman" w:hAnsi="Times New Roman" w:cs="Times New Roman"/>
          <w:sz w:val="24"/>
          <w:szCs w:val="24"/>
        </w:rPr>
        <w:t>en</w:t>
      </w:r>
      <w:proofErr w:type="spellEnd"/>
      <w:r w:rsidRPr="0067704F">
        <w:rPr>
          <w:rFonts w:ascii="Times New Roman" w:hAnsi="Times New Roman" w:cs="Times New Roman"/>
          <w:sz w:val="24"/>
          <w:szCs w:val="24"/>
        </w:rPr>
        <w:t xml:space="preserve"> banc)) or in an official capacity (</w:t>
      </w:r>
      <w:r w:rsidRPr="0067704F">
        <w:rPr>
          <w:rFonts w:ascii="Times New Roman" w:hAnsi="Times New Roman" w:cs="Times New Roman"/>
          <w:i/>
          <w:iCs/>
          <w:sz w:val="24"/>
          <w:szCs w:val="24"/>
        </w:rPr>
        <w:t>see</w:t>
      </w:r>
      <w:r w:rsidRPr="0067704F">
        <w:rPr>
          <w:rFonts w:ascii="Times New Roman" w:hAnsi="Times New Roman" w:cs="Times New Roman"/>
          <w:sz w:val="24"/>
          <w:szCs w:val="24"/>
        </w:rPr>
        <w:t xml:space="preserve"> </w:t>
      </w:r>
      <w:r w:rsidRPr="0067704F">
        <w:rPr>
          <w:rFonts w:ascii="Times New Roman" w:hAnsi="Times New Roman" w:cs="Times New Roman"/>
          <w:i/>
          <w:iCs/>
          <w:sz w:val="24"/>
          <w:szCs w:val="24"/>
        </w:rPr>
        <w:t xml:space="preserve">Hartmann v. Cal. </w:t>
      </w:r>
      <w:proofErr w:type="spellStart"/>
      <w:r w:rsidRPr="0067704F">
        <w:rPr>
          <w:rFonts w:ascii="Times New Roman" w:hAnsi="Times New Roman" w:cs="Times New Roman"/>
          <w:i/>
          <w:iCs/>
          <w:sz w:val="24"/>
          <w:szCs w:val="24"/>
        </w:rPr>
        <w:t>Dep’t</w:t>
      </w:r>
      <w:proofErr w:type="spellEnd"/>
      <w:r w:rsidRPr="0067704F">
        <w:rPr>
          <w:rFonts w:ascii="Times New Roman" w:hAnsi="Times New Roman" w:cs="Times New Roman"/>
          <w:i/>
          <w:iCs/>
          <w:sz w:val="24"/>
          <w:szCs w:val="24"/>
        </w:rPr>
        <w:t xml:space="preserve"> of Corr. &amp; Rehab.</w:t>
      </w:r>
      <w:r w:rsidRPr="0067704F">
        <w:rPr>
          <w:rFonts w:ascii="Times New Roman" w:hAnsi="Times New Roman" w:cs="Times New Roman"/>
          <w:sz w:val="24"/>
          <w:szCs w:val="24"/>
        </w:rPr>
        <w:t xml:space="preserve">, 707 F.3d 1114, 1127 (9th Cir. 2013)).  A “person” subject to liability can also be a </w:t>
      </w:r>
      <w:r w:rsidR="00124E24" w:rsidRPr="00124E24">
        <w:rPr>
          <w:rFonts w:ascii="Times New Roman" w:hAnsi="Times New Roman" w:cs="Times New Roman"/>
          <w:sz w:val="24"/>
          <w:szCs w:val="24"/>
        </w:rPr>
        <w:t xml:space="preserve">municipality, county, or other </w:t>
      </w:r>
      <w:r w:rsidRPr="0067704F">
        <w:rPr>
          <w:rFonts w:ascii="Times New Roman" w:hAnsi="Times New Roman" w:cs="Times New Roman"/>
          <w:sz w:val="24"/>
          <w:szCs w:val="24"/>
        </w:rPr>
        <w:t>local governing body</w:t>
      </w:r>
      <w:r w:rsidR="00124E24">
        <w:rPr>
          <w:rFonts w:ascii="Times New Roman" w:hAnsi="Times New Roman" w:cs="Times New Roman"/>
          <w:sz w:val="24"/>
          <w:szCs w:val="24"/>
        </w:rPr>
        <w:t>. (</w:t>
      </w:r>
      <w:r w:rsidR="00124E24" w:rsidRPr="00124E24">
        <w:rPr>
          <w:rFonts w:ascii="Times New Roman" w:hAnsi="Times New Roman" w:cs="Times New Roman"/>
          <w:i/>
          <w:iCs/>
          <w:sz w:val="24"/>
          <w:szCs w:val="24"/>
        </w:rPr>
        <w:t xml:space="preserve">See Monell v. </w:t>
      </w:r>
      <w:proofErr w:type="spellStart"/>
      <w:r w:rsidR="00124E24" w:rsidRPr="00124E24">
        <w:rPr>
          <w:rFonts w:ascii="Times New Roman" w:hAnsi="Times New Roman" w:cs="Times New Roman"/>
          <w:i/>
          <w:iCs/>
          <w:sz w:val="24"/>
          <w:szCs w:val="24"/>
        </w:rPr>
        <w:t>Dep’t</w:t>
      </w:r>
      <w:proofErr w:type="spellEnd"/>
      <w:r w:rsidR="00124E24" w:rsidRPr="00124E24">
        <w:rPr>
          <w:rFonts w:ascii="Times New Roman" w:hAnsi="Times New Roman" w:cs="Times New Roman"/>
          <w:i/>
          <w:iCs/>
          <w:sz w:val="24"/>
          <w:szCs w:val="24"/>
        </w:rPr>
        <w:t xml:space="preserve"> of Soc. Servs. of City of N.Y.</w:t>
      </w:r>
      <w:r w:rsidR="00124E24" w:rsidRPr="00124E24">
        <w:rPr>
          <w:rFonts w:ascii="Times New Roman" w:hAnsi="Times New Roman" w:cs="Times New Roman"/>
          <w:sz w:val="24"/>
          <w:szCs w:val="24"/>
        </w:rPr>
        <w:t>, 436 U.S. 658, 690 (1978);</w:t>
      </w:r>
      <w:r w:rsidRPr="0067704F">
        <w:rPr>
          <w:rFonts w:ascii="Times New Roman" w:hAnsi="Times New Roman" w:cs="Times New Roman"/>
          <w:sz w:val="24"/>
          <w:szCs w:val="24"/>
        </w:rPr>
        <w:t xml:space="preserve"> </w:t>
      </w:r>
      <w:r w:rsidRPr="0067704F">
        <w:rPr>
          <w:rFonts w:ascii="Times New Roman" w:hAnsi="Times New Roman" w:cs="Times New Roman"/>
          <w:i/>
          <w:iCs/>
          <w:sz w:val="24"/>
          <w:szCs w:val="24"/>
        </w:rPr>
        <w:t>Waggy v. Spokane County</w:t>
      </w:r>
      <w:r w:rsidRPr="0067704F">
        <w:rPr>
          <w:rFonts w:ascii="Times New Roman" w:hAnsi="Times New Roman" w:cs="Times New Roman"/>
          <w:sz w:val="24"/>
          <w:szCs w:val="24"/>
        </w:rPr>
        <w:t>, 594 F.3d 707, 713 (9th Cir. 2010)</w:t>
      </w:r>
      <w:r w:rsidR="00124E24" w:rsidRPr="00124E24">
        <w:rPr>
          <w:rFonts w:ascii="Times New Roman" w:hAnsi="Times New Roman" w:cs="Times New Roman"/>
          <w:color w:val="FF0000"/>
          <w:sz w:val="28"/>
          <w:szCs w:val="28"/>
        </w:rPr>
        <w:t xml:space="preserve"> </w:t>
      </w:r>
      <w:r w:rsidR="00124E24" w:rsidRPr="00124E24">
        <w:rPr>
          <w:rFonts w:ascii="Times New Roman" w:hAnsi="Times New Roman" w:cs="Times New Roman"/>
          <w:sz w:val="24"/>
          <w:szCs w:val="24"/>
        </w:rPr>
        <w:t xml:space="preserve">(“Municipalities are considered ‘persons’ under 42 U.S.C. § 1983.”); </w:t>
      </w:r>
      <w:r w:rsidR="00124E24" w:rsidRPr="00124E24">
        <w:rPr>
          <w:rFonts w:ascii="Times New Roman" w:hAnsi="Times New Roman" w:cs="Times New Roman"/>
          <w:i/>
          <w:iCs/>
          <w:sz w:val="24"/>
          <w:szCs w:val="24"/>
        </w:rPr>
        <w:t xml:space="preserve">King v. </w:t>
      </w:r>
      <w:proofErr w:type="spellStart"/>
      <w:r w:rsidR="00124E24" w:rsidRPr="00124E24">
        <w:rPr>
          <w:rFonts w:ascii="Times New Roman" w:hAnsi="Times New Roman" w:cs="Times New Roman"/>
          <w:i/>
          <w:iCs/>
          <w:sz w:val="24"/>
          <w:szCs w:val="24"/>
        </w:rPr>
        <w:t>Cnty</w:t>
      </w:r>
      <w:proofErr w:type="spellEnd"/>
      <w:r w:rsidR="00124E24" w:rsidRPr="00124E24">
        <w:rPr>
          <w:rFonts w:ascii="Times New Roman" w:hAnsi="Times New Roman" w:cs="Times New Roman"/>
          <w:i/>
          <w:iCs/>
          <w:sz w:val="24"/>
          <w:szCs w:val="24"/>
        </w:rPr>
        <w:t>. of Los Angeles</w:t>
      </w:r>
      <w:r w:rsidR="00124E24" w:rsidRPr="00124E24">
        <w:rPr>
          <w:rFonts w:ascii="Times New Roman" w:hAnsi="Times New Roman" w:cs="Times New Roman"/>
          <w:sz w:val="24"/>
          <w:szCs w:val="24"/>
        </w:rPr>
        <w:t>, 885 F.3d 548, 558 (9th Cir. 2018) (“A county is subject to Section 1983 liability . . . .”)</w:t>
      </w:r>
      <w:r w:rsidRPr="0067704F">
        <w:rPr>
          <w:rFonts w:ascii="Times New Roman" w:hAnsi="Times New Roman" w:cs="Times New Roman"/>
          <w:sz w:val="24"/>
          <w:szCs w:val="24"/>
        </w:rPr>
        <w:t xml:space="preserve">). </w:t>
      </w:r>
    </w:p>
    <w:p w14:paraId="31A2857F"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42E83A05"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b/>
          <w:bCs/>
          <w:sz w:val="24"/>
          <w:szCs w:val="24"/>
        </w:rPr>
        <w:t>Local Governing Body Liability</w:t>
      </w:r>
    </w:p>
    <w:p w14:paraId="6206A655"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342806E3" w14:textId="6EB4C89D"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A local governing body is not liable under § 1983 “unless action pursuant to official municipal policy of some nature caused a constitutional tort.”  </w:t>
      </w:r>
      <w:r w:rsidRPr="0067704F">
        <w:rPr>
          <w:rFonts w:ascii="Times New Roman" w:hAnsi="Times New Roman" w:cs="Times New Roman"/>
          <w:i/>
          <w:iCs/>
          <w:sz w:val="24"/>
          <w:szCs w:val="24"/>
        </w:rPr>
        <w:t>Monell</w:t>
      </w:r>
      <w:r w:rsidRPr="0067704F">
        <w:rPr>
          <w:rFonts w:ascii="Times New Roman" w:hAnsi="Times New Roman" w:cs="Times New Roman"/>
          <w:sz w:val="24"/>
          <w:szCs w:val="24"/>
        </w:rPr>
        <w:t xml:space="preserve">, 436 U.S. </w:t>
      </w:r>
      <w:r w:rsidR="00124E24">
        <w:rPr>
          <w:rFonts w:ascii="Times New Roman" w:hAnsi="Times New Roman" w:cs="Times New Roman"/>
          <w:sz w:val="24"/>
          <w:szCs w:val="24"/>
        </w:rPr>
        <w:t xml:space="preserve">at </w:t>
      </w:r>
      <w:r w:rsidRPr="0067704F">
        <w:rPr>
          <w:rFonts w:ascii="Times New Roman" w:hAnsi="Times New Roman" w:cs="Times New Roman"/>
          <w:sz w:val="24"/>
          <w:szCs w:val="24"/>
        </w:rPr>
        <w:t xml:space="preserve">691.  </w:t>
      </w:r>
      <w:r w:rsidRPr="0067704F">
        <w:rPr>
          <w:rFonts w:ascii="Times New Roman" w:hAnsi="Times New Roman" w:cs="Times New Roman"/>
          <w:i/>
          <w:iCs/>
          <w:sz w:val="24"/>
          <w:szCs w:val="24"/>
        </w:rPr>
        <w:t xml:space="preserve">But see </w:t>
      </w:r>
      <w:r w:rsidRPr="0067704F">
        <w:rPr>
          <w:rFonts w:ascii="Times New Roman" w:hAnsi="Times New Roman" w:cs="Times New Roman"/>
          <w:sz w:val="24"/>
          <w:szCs w:val="24"/>
        </w:rPr>
        <w:t xml:space="preserve">Instruction 9.7 (Section 1983 Claim Against Local Governing Body Defendants Based on Ratification—Elements and Burden of Proof) (addressing ratification and causation).  “[A] municipality cannot be held liable under §1983 on a </w:t>
      </w:r>
      <w:proofErr w:type="spellStart"/>
      <w:r w:rsidRPr="00AC2249">
        <w:rPr>
          <w:rFonts w:ascii="Times New Roman" w:hAnsi="Times New Roman" w:cs="Times New Roman"/>
          <w:i/>
          <w:iCs/>
          <w:sz w:val="24"/>
          <w:szCs w:val="24"/>
        </w:rPr>
        <w:t>respondeat</w:t>
      </w:r>
      <w:proofErr w:type="spellEnd"/>
      <w:r w:rsidRPr="00AC2249">
        <w:rPr>
          <w:rFonts w:ascii="Times New Roman" w:hAnsi="Times New Roman" w:cs="Times New Roman"/>
          <w:i/>
          <w:iCs/>
          <w:sz w:val="24"/>
          <w:szCs w:val="24"/>
        </w:rPr>
        <w:t xml:space="preserve"> superior</w:t>
      </w:r>
      <w:r w:rsidRPr="0067704F">
        <w:rPr>
          <w:rFonts w:ascii="Times New Roman" w:hAnsi="Times New Roman" w:cs="Times New Roman"/>
          <w:sz w:val="24"/>
          <w:szCs w:val="24"/>
        </w:rPr>
        <w:t xml:space="preserve"> theory.”  </w:t>
      </w:r>
      <w:r w:rsidRPr="0067704F">
        <w:rPr>
          <w:rFonts w:ascii="Times New Roman" w:hAnsi="Times New Roman" w:cs="Times New Roman"/>
          <w:i/>
          <w:iCs/>
          <w:sz w:val="24"/>
          <w:szCs w:val="24"/>
        </w:rPr>
        <w:t>Monell</w:t>
      </w:r>
      <w:r w:rsidRPr="0067704F">
        <w:rPr>
          <w:rFonts w:ascii="Times New Roman" w:hAnsi="Times New Roman" w:cs="Times New Roman"/>
          <w:sz w:val="24"/>
          <w:szCs w:val="24"/>
        </w:rPr>
        <w:t xml:space="preserve">, 436 U.S. at 691.  </w:t>
      </w:r>
    </w:p>
    <w:p w14:paraId="7E9CFD8A"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67B7977C" w14:textId="288121AD"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A </w:t>
      </w:r>
      <w:r w:rsidR="00124E24" w:rsidRPr="00124E24">
        <w:rPr>
          <w:rFonts w:ascii="Times New Roman" w:hAnsi="Times New Roman" w:cs="Times New Roman"/>
          <w:sz w:val="24"/>
          <w:szCs w:val="24"/>
        </w:rPr>
        <w:t xml:space="preserve">local governing body </w:t>
      </w:r>
      <w:r w:rsidRPr="0067704F">
        <w:rPr>
          <w:rFonts w:ascii="Times New Roman" w:hAnsi="Times New Roman" w:cs="Times New Roman"/>
          <w:sz w:val="24"/>
          <w:szCs w:val="24"/>
        </w:rPr>
        <w:t xml:space="preserve">defendant, such as a school district or municipality, is not entitled to qualified immunity.  </w:t>
      </w:r>
      <w:r w:rsidRPr="0067704F">
        <w:rPr>
          <w:rFonts w:ascii="Times New Roman" w:hAnsi="Times New Roman" w:cs="Times New Roman"/>
          <w:i/>
          <w:iCs/>
          <w:sz w:val="24"/>
          <w:szCs w:val="24"/>
        </w:rPr>
        <w:t>See Owen v. Independence</w:t>
      </w:r>
      <w:r w:rsidRPr="0067704F">
        <w:rPr>
          <w:rFonts w:ascii="Times New Roman" w:hAnsi="Times New Roman" w:cs="Times New Roman"/>
          <w:sz w:val="24"/>
          <w:szCs w:val="24"/>
        </w:rPr>
        <w:t>, 445 U.S. 622, 638 (1980) (holding that “municipality may not assert the good faith of its officers or agents as a defense to liability under § 1983”).</w:t>
      </w:r>
    </w:p>
    <w:p w14:paraId="093B4FBC"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7D9FFE38" w14:textId="7CF5C063" w:rsidR="002423F0"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“The ‘official policy’ requirement ‘was intended to distinguish acts of the </w:t>
      </w:r>
      <w:r w:rsidRPr="0067704F">
        <w:rPr>
          <w:rFonts w:ascii="Times New Roman" w:hAnsi="Times New Roman" w:cs="Times New Roman"/>
          <w:i/>
          <w:iCs/>
          <w:sz w:val="24"/>
          <w:szCs w:val="24"/>
        </w:rPr>
        <w:t>municipality</w:t>
      </w:r>
      <w:r w:rsidRPr="0067704F">
        <w:rPr>
          <w:rFonts w:ascii="Times New Roman" w:hAnsi="Times New Roman" w:cs="Times New Roman"/>
          <w:sz w:val="24"/>
          <w:szCs w:val="24"/>
        </w:rPr>
        <w:t xml:space="preserve"> from acts of </w:t>
      </w:r>
      <w:r w:rsidRPr="0067704F">
        <w:rPr>
          <w:rFonts w:ascii="Times New Roman" w:hAnsi="Times New Roman" w:cs="Times New Roman"/>
          <w:i/>
          <w:iCs/>
          <w:sz w:val="24"/>
          <w:szCs w:val="24"/>
        </w:rPr>
        <w:t>employees</w:t>
      </w:r>
      <w:r w:rsidRPr="0067704F">
        <w:rPr>
          <w:rFonts w:ascii="Times New Roman" w:hAnsi="Times New Roman" w:cs="Times New Roman"/>
          <w:sz w:val="24"/>
          <w:szCs w:val="24"/>
        </w:rPr>
        <w:t xml:space="preserve"> of the municipality,’ and thereby make clear that municipal liability is limited to action for which the municipality is actually responsible.”  </w:t>
      </w:r>
      <w:proofErr w:type="spellStart"/>
      <w:r w:rsidRPr="0067704F">
        <w:rPr>
          <w:rFonts w:ascii="Times New Roman" w:hAnsi="Times New Roman" w:cs="Times New Roman"/>
          <w:i/>
          <w:iCs/>
          <w:sz w:val="24"/>
          <w:szCs w:val="24"/>
        </w:rPr>
        <w:t>Pembaur</w:t>
      </w:r>
      <w:proofErr w:type="spellEnd"/>
      <w:r w:rsidRPr="0067704F">
        <w:rPr>
          <w:rFonts w:ascii="Times New Roman" w:hAnsi="Times New Roman" w:cs="Times New Roman"/>
          <w:i/>
          <w:iCs/>
          <w:sz w:val="24"/>
          <w:szCs w:val="24"/>
        </w:rPr>
        <w:t xml:space="preserve"> v. City of </w:t>
      </w:r>
      <w:r w:rsidRPr="0067704F">
        <w:rPr>
          <w:rFonts w:ascii="Times New Roman" w:hAnsi="Times New Roman" w:cs="Times New Roman"/>
          <w:i/>
          <w:iCs/>
          <w:sz w:val="24"/>
          <w:szCs w:val="24"/>
        </w:rPr>
        <w:lastRenderedPageBreak/>
        <w:t xml:space="preserve">Cincinnati, </w:t>
      </w:r>
      <w:r w:rsidRPr="0067704F">
        <w:rPr>
          <w:rFonts w:ascii="Times New Roman" w:hAnsi="Times New Roman" w:cs="Times New Roman"/>
          <w:sz w:val="24"/>
          <w:szCs w:val="24"/>
        </w:rPr>
        <w:t>475 U.S. 469, 479 (1986) (emphasis in original).  Because there are several ways to establish “</w:t>
      </w:r>
      <w:r w:rsidRPr="0067704F">
        <w:rPr>
          <w:rFonts w:ascii="Times New Roman" w:hAnsi="Times New Roman" w:cs="Times New Roman"/>
          <w:i/>
          <w:iCs/>
          <w:sz w:val="24"/>
          <w:szCs w:val="24"/>
        </w:rPr>
        <w:t>Monell</w:t>
      </w:r>
      <w:r w:rsidRPr="0067704F">
        <w:rPr>
          <w:rFonts w:ascii="Times New Roman" w:hAnsi="Times New Roman" w:cs="Times New Roman"/>
          <w:sz w:val="24"/>
          <w:szCs w:val="24"/>
        </w:rPr>
        <w:t xml:space="preserve"> liability,” </w:t>
      </w:r>
      <w:r w:rsidRPr="0067704F">
        <w:rPr>
          <w:rFonts w:ascii="Times New Roman" w:hAnsi="Times New Roman" w:cs="Times New Roman"/>
          <w:i/>
          <w:iCs/>
          <w:sz w:val="24"/>
          <w:szCs w:val="24"/>
        </w:rPr>
        <w:t>see Christie v. Iopa</w:t>
      </w:r>
      <w:r w:rsidRPr="0067704F">
        <w:rPr>
          <w:rFonts w:ascii="Times New Roman" w:hAnsi="Times New Roman" w:cs="Times New Roman"/>
          <w:sz w:val="24"/>
          <w:szCs w:val="24"/>
        </w:rPr>
        <w:t>, 176 F.3d 1231, 1235 (9th Cir. 1999)</w:t>
      </w:r>
      <w:r w:rsidR="00124E24" w:rsidRPr="00124E24">
        <w:rPr>
          <w:rFonts w:ascii="Times New Roman" w:hAnsi="Times New Roman" w:cs="Times New Roman"/>
          <w:sz w:val="24"/>
          <w:szCs w:val="24"/>
        </w:rPr>
        <w:t xml:space="preserve">; </w:t>
      </w:r>
      <w:r w:rsidR="00124E24" w:rsidRPr="00124E24">
        <w:rPr>
          <w:rFonts w:ascii="Times New Roman" w:hAnsi="Times New Roman" w:cs="Times New Roman"/>
          <w:i/>
          <w:iCs/>
          <w:sz w:val="24"/>
          <w:szCs w:val="24"/>
        </w:rPr>
        <w:t>Webb v. Sloan</w:t>
      </w:r>
      <w:r w:rsidR="00124E24" w:rsidRPr="00124E24">
        <w:rPr>
          <w:rFonts w:ascii="Times New Roman" w:hAnsi="Times New Roman" w:cs="Times New Roman"/>
          <w:sz w:val="24"/>
          <w:szCs w:val="24"/>
        </w:rPr>
        <w:t>, 330 F.3d 1158, 1164 (9th Cir. 2003)</w:t>
      </w:r>
      <w:r w:rsidRPr="0067704F">
        <w:rPr>
          <w:rFonts w:ascii="Times New Roman" w:hAnsi="Times New Roman" w:cs="Times New Roman"/>
          <w:sz w:val="24"/>
          <w:szCs w:val="24"/>
        </w:rPr>
        <w:t>, the Committee also includes in this chapter separate elements instructions for several bases of such liability (Instructions 9.5, 9.6, 9.7, and 9.8).</w:t>
      </w:r>
    </w:p>
    <w:p w14:paraId="619BB1EA" w14:textId="77777777" w:rsidR="002423F0" w:rsidRPr="0067704F" w:rsidRDefault="002423F0" w:rsidP="0067704F">
      <w:pPr>
        <w:autoSpaceDE w:val="0"/>
        <w:autoSpaceDN w:val="0"/>
        <w:adjustRightInd w:val="0"/>
        <w:spacing w:after="0" w:line="240" w:lineRule="auto"/>
        <w:rPr>
          <w:rFonts w:ascii="Times New Roman" w:hAnsi="Times New Roman" w:cs="Times New Roman"/>
          <w:sz w:val="24"/>
          <w:szCs w:val="24"/>
        </w:rPr>
      </w:pPr>
    </w:p>
    <w:p w14:paraId="30576BC3" w14:textId="77777777" w:rsidR="0067704F" w:rsidRPr="0067704F" w:rsidRDefault="0067704F" w:rsidP="0067704F">
      <w:pPr>
        <w:spacing w:after="0" w:line="240" w:lineRule="auto"/>
        <w:rPr>
          <w:rFonts w:ascii="Times New Roman" w:hAnsi="Times New Roman" w:cs="Times New Roman"/>
          <w:b/>
          <w:bCs/>
          <w:sz w:val="24"/>
          <w:szCs w:val="24"/>
        </w:rPr>
      </w:pPr>
      <w:r w:rsidRPr="0067704F">
        <w:rPr>
          <w:rFonts w:ascii="Times New Roman" w:hAnsi="Times New Roman" w:cs="Times New Roman"/>
          <w:b/>
          <w:bCs/>
          <w:sz w:val="24"/>
          <w:szCs w:val="24"/>
        </w:rPr>
        <w:t>Good-Faith Defense</w:t>
      </w:r>
    </w:p>
    <w:p w14:paraId="24CDDDAD" w14:textId="77777777" w:rsidR="0067704F" w:rsidRPr="0067704F" w:rsidRDefault="0067704F" w:rsidP="0067704F">
      <w:pPr>
        <w:spacing w:after="0" w:line="240" w:lineRule="auto"/>
        <w:rPr>
          <w:rFonts w:ascii="Times New Roman" w:hAnsi="Times New Roman" w:cs="Times New Roman"/>
          <w:sz w:val="24"/>
          <w:szCs w:val="24"/>
        </w:rPr>
      </w:pPr>
    </w:p>
    <w:p w14:paraId="1C74426D" w14:textId="77777777" w:rsidR="00124E24" w:rsidRPr="00124E24" w:rsidRDefault="00124E24" w:rsidP="00124E24">
      <w:pPr>
        <w:spacing w:after="0" w:line="240" w:lineRule="auto"/>
        <w:ind w:firstLine="720"/>
        <w:rPr>
          <w:rFonts w:ascii="Times New Roman" w:hAnsi="Times New Roman" w:cs="Times New Roman"/>
          <w:sz w:val="24"/>
          <w:szCs w:val="24"/>
        </w:rPr>
      </w:pPr>
      <w:r w:rsidRPr="00124E24">
        <w:rPr>
          <w:rFonts w:ascii="Times New Roman" w:hAnsi="Times New Roman" w:cs="Times New Roman"/>
          <w:sz w:val="24"/>
          <w:szCs w:val="24"/>
        </w:rPr>
        <w:t xml:space="preserve">Private parties and local governments “may invoke a good faith defense to liability under section 1983.”  </w:t>
      </w:r>
      <w:r w:rsidRPr="00124E24">
        <w:rPr>
          <w:rFonts w:ascii="Times New Roman" w:hAnsi="Times New Roman" w:cs="Times New Roman"/>
          <w:i/>
          <w:iCs/>
          <w:sz w:val="24"/>
          <w:szCs w:val="24"/>
        </w:rPr>
        <w:t>Danielson v. Inslee</w:t>
      </w:r>
      <w:r w:rsidRPr="00124E24">
        <w:rPr>
          <w:rFonts w:ascii="Times New Roman" w:hAnsi="Times New Roman" w:cs="Times New Roman"/>
          <w:sz w:val="24"/>
          <w:szCs w:val="24"/>
        </w:rPr>
        <w:t xml:space="preserve">, 945 F.3d 1096, 1097 (9th Cir. 2019) (citing </w:t>
      </w:r>
      <w:r w:rsidRPr="00124E24">
        <w:rPr>
          <w:rFonts w:ascii="Times New Roman" w:hAnsi="Times New Roman" w:cs="Times New Roman"/>
          <w:i/>
          <w:iCs/>
          <w:sz w:val="24"/>
          <w:szCs w:val="24"/>
        </w:rPr>
        <w:t>Clement v. City of Glendale</w:t>
      </w:r>
      <w:r w:rsidRPr="00124E24">
        <w:rPr>
          <w:rFonts w:ascii="Times New Roman" w:hAnsi="Times New Roman" w:cs="Times New Roman"/>
          <w:sz w:val="24"/>
          <w:szCs w:val="24"/>
        </w:rPr>
        <w:t xml:space="preserve">, 518 F.3d 1090, 1096-97 (9th Cir. 2008)); </w:t>
      </w:r>
      <w:r w:rsidRPr="00124E24">
        <w:rPr>
          <w:rFonts w:ascii="Times New Roman" w:hAnsi="Times New Roman" w:cs="Times New Roman"/>
          <w:i/>
          <w:iCs/>
          <w:sz w:val="24"/>
          <w:szCs w:val="24"/>
        </w:rPr>
        <w:t xml:space="preserve">see Allen v. Santa Clara </w:t>
      </w:r>
      <w:proofErr w:type="spellStart"/>
      <w:r w:rsidRPr="00124E24">
        <w:rPr>
          <w:rFonts w:ascii="Times New Roman" w:hAnsi="Times New Roman" w:cs="Times New Roman"/>
          <w:i/>
          <w:iCs/>
          <w:sz w:val="24"/>
          <w:szCs w:val="24"/>
        </w:rPr>
        <w:t>Cnty</w:t>
      </w:r>
      <w:proofErr w:type="spellEnd"/>
      <w:r w:rsidRPr="00124E24">
        <w:rPr>
          <w:rFonts w:ascii="Times New Roman" w:hAnsi="Times New Roman" w:cs="Times New Roman"/>
          <w:i/>
          <w:iCs/>
          <w:sz w:val="24"/>
          <w:szCs w:val="24"/>
        </w:rPr>
        <w:t xml:space="preserve">. Corr. Peace Officers </w:t>
      </w:r>
      <w:proofErr w:type="spellStart"/>
      <w:r w:rsidRPr="00124E24">
        <w:rPr>
          <w:rFonts w:ascii="Times New Roman" w:hAnsi="Times New Roman" w:cs="Times New Roman"/>
          <w:i/>
          <w:iCs/>
          <w:sz w:val="24"/>
          <w:szCs w:val="24"/>
        </w:rPr>
        <w:t>Ass’n</w:t>
      </w:r>
      <w:proofErr w:type="spellEnd"/>
      <w:r w:rsidRPr="00124E24">
        <w:rPr>
          <w:rFonts w:ascii="Times New Roman" w:hAnsi="Times New Roman" w:cs="Times New Roman"/>
          <w:sz w:val="24"/>
          <w:szCs w:val="24"/>
        </w:rPr>
        <w:t xml:space="preserve">, 38 F.4th 68, 71 (9th Cir. 2022) (holding that municipalities may also be entitled to a good faith defense).  </w:t>
      </w:r>
    </w:p>
    <w:p w14:paraId="3FF22339" w14:textId="77777777" w:rsidR="00124E24" w:rsidRDefault="00124E24" w:rsidP="0067704F">
      <w:pPr>
        <w:spacing w:after="0" w:line="240" w:lineRule="auto"/>
        <w:ind w:firstLine="720"/>
        <w:rPr>
          <w:rFonts w:ascii="Times New Roman" w:hAnsi="Times New Roman" w:cs="Times New Roman"/>
          <w:sz w:val="24"/>
          <w:szCs w:val="24"/>
        </w:rPr>
      </w:pPr>
    </w:p>
    <w:p w14:paraId="08BDF46B" w14:textId="25A6CA46" w:rsidR="0067704F" w:rsidRPr="0067704F" w:rsidRDefault="00124E24" w:rsidP="0067704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Specifically, b</w:t>
      </w:r>
      <w:r w:rsidR="0067704F" w:rsidRPr="0067704F">
        <w:rPr>
          <w:rFonts w:ascii="Times New Roman" w:hAnsi="Times New Roman" w:cs="Times New Roman"/>
          <w:sz w:val="24"/>
          <w:szCs w:val="24"/>
        </w:rPr>
        <w:t xml:space="preserve">oth private parties and local governments “may invoke an affirmative defense of good faith to retrospective monetary liability under 42 U.S.C. § 1983, where they acted in direct reliance on then-binding Supreme Court precedent and </w:t>
      </w:r>
      <w:proofErr w:type="gramStart"/>
      <w:r w:rsidR="0067704F" w:rsidRPr="0067704F">
        <w:rPr>
          <w:rFonts w:ascii="Times New Roman" w:hAnsi="Times New Roman" w:cs="Times New Roman"/>
          <w:sz w:val="24"/>
          <w:szCs w:val="24"/>
        </w:rPr>
        <w:t>presumptively-valid</w:t>
      </w:r>
      <w:proofErr w:type="gramEnd"/>
      <w:r w:rsidR="0067704F" w:rsidRPr="0067704F">
        <w:rPr>
          <w:rFonts w:ascii="Times New Roman" w:hAnsi="Times New Roman" w:cs="Times New Roman"/>
          <w:sz w:val="24"/>
          <w:szCs w:val="24"/>
        </w:rPr>
        <w:t xml:space="preserve"> state law.” </w:t>
      </w:r>
      <w:r w:rsidR="0067704F" w:rsidRPr="00D80FFC">
        <w:rPr>
          <w:rFonts w:ascii="Times New Roman" w:hAnsi="Times New Roman" w:cs="Times New Roman"/>
          <w:i/>
          <w:iCs/>
          <w:sz w:val="24"/>
          <w:szCs w:val="24"/>
        </w:rPr>
        <w:t>Danielson</w:t>
      </w:r>
      <w:r w:rsidR="0067704F" w:rsidRPr="0067704F">
        <w:rPr>
          <w:rFonts w:ascii="Times New Roman" w:hAnsi="Times New Roman" w:cs="Times New Roman"/>
          <w:sz w:val="24"/>
          <w:szCs w:val="24"/>
        </w:rPr>
        <w:t xml:space="preserve">, 945 F.3d </w:t>
      </w:r>
      <w:r w:rsidR="00FA1EA7">
        <w:rPr>
          <w:rFonts w:ascii="Times New Roman" w:hAnsi="Times New Roman" w:cs="Times New Roman"/>
          <w:sz w:val="24"/>
          <w:szCs w:val="24"/>
        </w:rPr>
        <w:t>at</w:t>
      </w:r>
      <w:r w:rsidR="0067704F" w:rsidRPr="0067704F">
        <w:rPr>
          <w:rFonts w:ascii="Times New Roman" w:hAnsi="Times New Roman" w:cs="Times New Roman"/>
          <w:sz w:val="24"/>
          <w:szCs w:val="24"/>
        </w:rPr>
        <w:t xml:space="preserve"> 1097 (holding that public-sector unions could rely on good-faith defense to avoid liability for unlawful fees collected when binding precedent authorized such fees); </w:t>
      </w:r>
      <w:r w:rsidR="0067704F" w:rsidRPr="00D80FFC">
        <w:rPr>
          <w:rFonts w:ascii="Times New Roman" w:hAnsi="Times New Roman" w:cs="Times New Roman"/>
          <w:i/>
          <w:iCs/>
          <w:sz w:val="24"/>
          <w:szCs w:val="24"/>
        </w:rPr>
        <w:t>see Allen</w:t>
      </w:r>
      <w:r w:rsidR="0067704F" w:rsidRPr="0067704F">
        <w:rPr>
          <w:rFonts w:ascii="Times New Roman" w:hAnsi="Times New Roman" w:cs="Times New Roman"/>
          <w:sz w:val="24"/>
          <w:szCs w:val="24"/>
        </w:rPr>
        <w:t xml:space="preserve">, 38 F.4th </w:t>
      </w:r>
      <w:r w:rsidR="00FA1EA7">
        <w:rPr>
          <w:rFonts w:ascii="Times New Roman" w:hAnsi="Times New Roman" w:cs="Times New Roman"/>
          <w:sz w:val="24"/>
          <w:szCs w:val="24"/>
        </w:rPr>
        <w:t xml:space="preserve">at 75 </w:t>
      </w:r>
      <w:r w:rsidR="0067704F" w:rsidRPr="0067704F">
        <w:rPr>
          <w:rFonts w:ascii="Times New Roman" w:hAnsi="Times New Roman" w:cs="Times New Roman"/>
          <w:sz w:val="24"/>
          <w:szCs w:val="24"/>
        </w:rPr>
        <w:t>(holding that county which assisted public-sector union’s efforts to collect unlawful fees could rely on same good-faith defense).</w:t>
      </w:r>
    </w:p>
    <w:p w14:paraId="7A5653AE" w14:textId="77777777" w:rsidR="0067704F" w:rsidRPr="0067704F" w:rsidRDefault="0067704F" w:rsidP="0067704F">
      <w:pPr>
        <w:spacing w:after="0" w:line="240" w:lineRule="auto"/>
        <w:rPr>
          <w:rFonts w:ascii="Times New Roman" w:hAnsi="Times New Roman" w:cs="Times New Roman"/>
          <w:sz w:val="24"/>
          <w:szCs w:val="24"/>
        </w:rPr>
      </w:pPr>
    </w:p>
    <w:p w14:paraId="5CD53DDC" w14:textId="2F5B5F05" w:rsidR="0067704F" w:rsidRPr="0067704F" w:rsidRDefault="0067704F" w:rsidP="0067704F">
      <w:pPr>
        <w:spacing w:after="0" w:line="240" w:lineRule="auto"/>
        <w:ind w:firstLine="720"/>
        <w:rPr>
          <w:rFonts w:ascii="Times New Roman" w:hAnsi="Times New Roman" w:cs="Times New Roman"/>
          <w:sz w:val="24"/>
          <w:szCs w:val="24"/>
        </w:rPr>
      </w:pPr>
      <w:r w:rsidRPr="0067704F">
        <w:rPr>
          <w:rFonts w:ascii="Times New Roman" w:hAnsi="Times New Roman" w:cs="Times New Roman"/>
          <w:sz w:val="24"/>
          <w:szCs w:val="24"/>
        </w:rPr>
        <w:t>A private party that acted upon the instructions of a local police department may also invoke a good faith defense.</w:t>
      </w:r>
      <w:r w:rsidR="00D80FFC">
        <w:rPr>
          <w:rFonts w:ascii="Times New Roman" w:hAnsi="Times New Roman" w:cs="Times New Roman"/>
          <w:sz w:val="24"/>
          <w:szCs w:val="24"/>
        </w:rPr>
        <w:t xml:space="preserve"> </w:t>
      </w:r>
      <w:r w:rsidRPr="0067704F">
        <w:rPr>
          <w:rFonts w:ascii="Times New Roman" w:hAnsi="Times New Roman" w:cs="Times New Roman"/>
          <w:sz w:val="24"/>
          <w:szCs w:val="24"/>
        </w:rPr>
        <w:t xml:space="preserve"> </w:t>
      </w:r>
      <w:r w:rsidRPr="00D80FFC">
        <w:rPr>
          <w:rFonts w:ascii="Times New Roman" w:hAnsi="Times New Roman" w:cs="Times New Roman"/>
          <w:i/>
          <w:iCs/>
          <w:sz w:val="24"/>
          <w:szCs w:val="24"/>
        </w:rPr>
        <w:t>Clement</w:t>
      </w:r>
      <w:r w:rsidRPr="0067704F">
        <w:rPr>
          <w:rFonts w:ascii="Times New Roman" w:hAnsi="Times New Roman" w:cs="Times New Roman"/>
          <w:sz w:val="24"/>
          <w:szCs w:val="24"/>
        </w:rPr>
        <w:t xml:space="preserve">, 518 F.3d </w:t>
      </w:r>
      <w:r w:rsidR="00FA1EA7">
        <w:rPr>
          <w:rFonts w:ascii="Times New Roman" w:hAnsi="Times New Roman" w:cs="Times New Roman"/>
          <w:sz w:val="24"/>
          <w:szCs w:val="24"/>
        </w:rPr>
        <w:t>at</w:t>
      </w:r>
      <w:r w:rsidRPr="0067704F">
        <w:rPr>
          <w:rFonts w:ascii="Times New Roman" w:hAnsi="Times New Roman" w:cs="Times New Roman"/>
          <w:sz w:val="24"/>
          <w:szCs w:val="24"/>
        </w:rPr>
        <w:t xml:space="preserve"> 1096-97 (holding that towing company that relied on police officer’s authorization, towed vehicle under close police supervision, and did its best to follow law could rely on good-faith defense to liability even though police officer’s decision to tow vehicle violated plaintiff’s due process rights).</w:t>
      </w:r>
    </w:p>
    <w:p w14:paraId="408CE183" w14:textId="77777777" w:rsidR="0067704F" w:rsidRDefault="0067704F" w:rsidP="0067704F">
      <w:pPr>
        <w:autoSpaceDE w:val="0"/>
        <w:autoSpaceDN w:val="0"/>
        <w:adjustRightInd w:val="0"/>
        <w:spacing w:after="0" w:line="240" w:lineRule="auto"/>
        <w:ind w:left="4320" w:hanging="4320"/>
        <w:rPr>
          <w:rFonts w:ascii="Times New Roman" w:hAnsi="Times New Roman" w:cs="Times New Roman"/>
          <w:b/>
          <w:bCs/>
          <w:sz w:val="24"/>
          <w:szCs w:val="24"/>
        </w:rPr>
      </w:pPr>
    </w:p>
    <w:p w14:paraId="616874D9" w14:textId="52D4960A" w:rsidR="0067704F" w:rsidRPr="0067704F" w:rsidRDefault="0067704F" w:rsidP="0067704F">
      <w:pPr>
        <w:autoSpaceDE w:val="0"/>
        <w:autoSpaceDN w:val="0"/>
        <w:adjustRightInd w:val="0"/>
        <w:spacing w:after="0" w:line="240" w:lineRule="auto"/>
        <w:ind w:left="4320" w:hanging="4320"/>
        <w:rPr>
          <w:rFonts w:ascii="Times New Roman" w:hAnsi="Times New Roman" w:cs="Times New Roman"/>
          <w:sz w:val="24"/>
          <w:szCs w:val="24"/>
        </w:rPr>
      </w:pPr>
      <w:r w:rsidRPr="0067704F">
        <w:rPr>
          <w:rFonts w:ascii="Times New Roman" w:hAnsi="Times New Roman" w:cs="Times New Roman"/>
          <w:b/>
          <w:bCs/>
          <w:sz w:val="24"/>
          <w:szCs w:val="24"/>
        </w:rPr>
        <w:t>Eleventh Amendment Immunity</w:t>
      </w:r>
    </w:p>
    <w:p w14:paraId="7F5794CD"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5DF472DC"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Despite the language of § 1983, “every person” does not have a universal scope; it does</w:t>
      </w:r>
    </w:p>
    <w:p w14:paraId="05E73B77"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not encompass claims against a state or a state agency because the Eleventh Amendment bars</w:t>
      </w:r>
    </w:p>
    <w:p w14:paraId="12E0FA08"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 xml:space="preserve">such encroachments on a state’s sovereignty.  </w:t>
      </w:r>
      <w:r w:rsidRPr="0067704F">
        <w:rPr>
          <w:rFonts w:ascii="Times New Roman" w:hAnsi="Times New Roman" w:cs="Times New Roman"/>
          <w:i/>
          <w:iCs/>
          <w:sz w:val="24"/>
          <w:szCs w:val="24"/>
        </w:rPr>
        <w:t xml:space="preserve">Doe v. Lawrence Livermore </w:t>
      </w:r>
      <w:proofErr w:type="spellStart"/>
      <w:r w:rsidRPr="0067704F">
        <w:rPr>
          <w:rFonts w:ascii="Times New Roman" w:hAnsi="Times New Roman" w:cs="Times New Roman"/>
          <w:i/>
          <w:iCs/>
          <w:sz w:val="24"/>
          <w:szCs w:val="24"/>
        </w:rPr>
        <w:t>Nat’l</w:t>
      </w:r>
      <w:proofErr w:type="spellEnd"/>
      <w:r w:rsidRPr="0067704F">
        <w:rPr>
          <w:rFonts w:ascii="Times New Roman" w:hAnsi="Times New Roman" w:cs="Times New Roman"/>
          <w:i/>
          <w:iCs/>
          <w:sz w:val="24"/>
          <w:szCs w:val="24"/>
        </w:rPr>
        <w:t xml:space="preserve"> Lab</w:t>
      </w:r>
      <w:r w:rsidRPr="0067704F">
        <w:rPr>
          <w:rFonts w:ascii="Times New Roman" w:hAnsi="Times New Roman" w:cs="Times New Roman"/>
          <w:sz w:val="24"/>
          <w:szCs w:val="24"/>
        </w:rPr>
        <w:t>., 131 F.3d</w:t>
      </w:r>
    </w:p>
    <w:p w14:paraId="5BE4C86A"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 xml:space="preserve">836, 839 (9th Cir. 1997) (“States or governmental entities that are considered ‘arms of the State’ for Eleventh Amendment purposes are not ‘persons’ under § 1983,” quoting </w:t>
      </w:r>
      <w:r w:rsidRPr="0067704F">
        <w:rPr>
          <w:rFonts w:ascii="Times New Roman" w:hAnsi="Times New Roman" w:cs="Times New Roman"/>
          <w:i/>
          <w:iCs/>
          <w:sz w:val="24"/>
          <w:szCs w:val="24"/>
        </w:rPr>
        <w:t xml:space="preserve">Will v. Mich. </w:t>
      </w:r>
      <w:proofErr w:type="spellStart"/>
      <w:r w:rsidRPr="0067704F">
        <w:rPr>
          <w:rFonts w:ascii="Times New Roman" w:hAnsi="Times New Roman" w:cs="Times New Roman"/>
          <w:i/>
          <w:iCs/>
          <w:sz w:val="24"/>
          <w:szCs w:val="24"/>
        </w:rPr>
        <w:t>Dep’t</w:t>
      </w:r>
      <w:proofErr w:type="spellEnd"/>
      <w:r w:rsidRPr="0067704F">
        <w:rPr>
          <w:rFonts w:ascii="Times New Roman" w:hAnsi="Times New Roman" w:cs="Times New Roman"/>
          <w:i/>
          <w:iCs/>
          <w:sz w:val="24"/>
          <w:szCs w:val="24"/>
        </w:rPr>
        <w:t xml:space="preserve"> of State Police</w:t>
      </w:r>
      <w:r w:rsidRPr="0067704F">
        <w:rPr>
          <w:rFonts w:ascii="Times New Roman" w:hAnsi="Times New Roman" w:cs="Times New Roman"/>
          <w:sz w:val="24"/>
          <w:szCs w:val="24"/>
        </w:rPr>
        <w:t>, 491 U.S. 58, 70 (1989)).  Even if a plaintiff seeks only injunctive relief, a state</w:t>
      </w:r>
    </w:p>
    <w:p w14:paraId="72E97D98"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 xml:space="preserve">that has not waived its Eleventh Amendment immunity cannot be sued in its own name under § 1983. </w:t>
      </w:r>
      <w:r w:rsidRPr="0067704F">
        <w:rPr>
          <w:rFonts w:ascii="Times New Roman" w:hAnsi="Times New Roman" w:cs="Times New Roman"/>
          <w:i/>
          <w:iCs/>
          <w:sz w:val="24"/>
          <w:szCs w:val="24"/>
        </w:rPr>
        <w:t>Will</w:t>
      </w:r>
      <w:r w:rsidRPr="0067704F">
        <w:rPr>
          <w:rFonts w:ascii="Times New Roman" w:hAnsi="Times New Roman" w:cs="Times New Roman"/>
          <w:sz w:val="24"/>
          <w:szCs w:val="24"/>
        </w:rPr>
        <w:t>, 491 U.S. at 64, 71, n.10.</w:t>
      </w:r>
    </w:p>
    <w:p w14:paraId="47FA135F" w14:textId="24A12C76" w:rsidR="0067704F" w:rsidRDefault="0067704F" w:rsidP="00AA6DC0">
      <w:pPr>
        <w:autoSpaceDE w:val="0"/>
        <w:autoSpaceDN w:val="0"/>
        <w:adjustRightInd w:val="0"/>
        <w:spacing w:after="0" w:line="240" w:lineRule="auto"/>
        <w:rPr>
          <w:rFonts w:ascii="Times New Roman" w:hAnsi="Times New Roman" w:cs="Times New Roman"/>
          <w:sz w:val="24"/>
          <w:szCs w:val="24"/>
        </w:rPr>
      </w:pPr>
    </w:p>
    <w:p w14:paraId="05477357" w14:textId="5ECB28D1" w:rsidR="00AA6DC0" w:rsidRPr="0067704F" w:rsidRDefault="00AA6DC0" w:rsidP="00AA6DC0">
      <w:pPr>
        <w:autoSpaceDE w:val="0"/>
        <w:autoSpaceDN w:val="0"/>
        <w:adjustRightInd w:val="0"/>
        <w:spacing w:after="0" w:line="240" w:lineRule="auto"/>
        <w:ind w:firstLine="720"/>
        <w:rPr>
          <w:rFonts w:ascii="Times New Roman" w:hAnsi="Times New Roman" w:cs="Times New Roman"/>
          <w:sz w:val="24"/>
          <w:szCs w:val="24"/>
        </w:rPr>
      </w:pPr>
      <w:r w:rsidRPr="00AA6DC0">
        <w:rPr>
          <w:rFonts w:ascii="Times New Roman" w:hAnsi="Times New Roman" w:cs="Times New Roman"/>
          <w:sz w:val="24"/>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AA6DC0">
        <w:rPr>
          <w:rFonts w:ascii="Times New Roman" w:hAnsi="Times New Roman" w:cs="Times New Roman"/>
          <w:i/>
          <w:iCs/>
          <w:sz w:val="24"/>
          <w:szCs w:val="24"/>
        </w:rPr>
        <w:t>Kohn v. State Bar of California,</w:t>
      </w:r>
      <w:r w:rsidRPr="00AA6DC0">
        <w:rPr>
          <w:rFonts w:ascii="Times New Roman" w:hAnsi="Times New Roman" w:cs="Times New Roman"/>
          <w:sz w:val="24"/>
          <w:szCs w:val="24"/>
        </w:rPr>
        <w:t xml:space="preserve"> 87 F.4th 1021, 1031 (9th Cir. 2023)</w:t>
      </w:r>
      <w:r>
        <w:rPr>
          <w:rFonts w:ascii="Times New Roman" w:hAnsi="Times New Roman" w:cs="Times New Roman"/>
          <w:sz w:val="24"/>
          <w:szCs w:val="24"/>
        </w:rPr>
        <w:t xml:space="preserve"> </w:t>
      </w:r>
      <w:r w:rsidR="006A7379" w:rsidRPr="0067704F">
        <w:rPr>
          <w:rFonts w:ascii="Times New Roman" w:hAnsi="Times New Roman" w:cs="Times New Roman"/>
          <w:sz w:val="24"/>
          <w:szCs w:val="24"/>
        </w:rPr>
        <w:t>(</w:t>
      </w:r>
      <w:proofErr w:type="spellStart"/>
      <w:r w:rsidR="006A7379" w:rsidRPr="0067704F">
        <w:rPr>
          <w:rFonts w:ascii="Times New Roman" w:hAnsi="Times New Roman" w:cs="Times New Roman"/>
          <w:sz w:val="24"/>
          <w:szCs w:val="24"/>
        </w:rPr>
        <w:t>en</w:t>
      </w:r>
      <w:proofErr w:type="spellEnd"/>
      <w:r w:rsidR="006A7379" w:rsidRPr="0067704F">
        <w:rPr>
          <w:rFonts w:ascii="Times New Roman" w:hAnsi="Times New Roman" w:cs="Times New Roman"/>
          <w:sz w:val="24"/>
          <w:szCs w:val="24"/>
        </w:rPr>
        <w:t xml:space="preserve"> banc)</w:t>
      </w:r>
      <w:r w:rsidR="006A7379">
        <w:rPr>
          <w:rFonts w:ascii="Times New Roman" w:hAnsi="Times New Roman" w:cs="Times New Roman"/>
          <w:sz w:val="24"/>
          <w:szCs w:val="24"/>
        </w:rPr>
        <w:t xml:space="preserve"> </w:t>
      </w:r>
      <w:r>
        <w:rPr>
          <w:rFonts w:ascii="Times New Roman" w:hAnsi="Times New Roman" w:cs="Times New Roman"/>
          <w:sz w:val="24"/>
          <w:szCs w:val="24"/>
        </w:rPr>
        <w:t>(adopting the D.C. Circuit’s three-factor test)</w:t>
      </w:r>
      <w:r w:rsidRPr="00AA6DC0">
        <w:rPr>
          <w:rFonts w:ascii="Times New Roman" w:hAnsi="Times New Roman" w:cs="Times New Roman"/>
          <w:sz w:val="24"/>
          <w:szCs w:val="24"/>
        </w:rPr>
        <w:t>. The inquiry is an entity-based approach</w:t>
      </w:r>
      <w:r>
        <w:rPr>
          <w:rFonts w:ascii="Times New Roman" w:hAnsi="Times New Roman" w:cs="Times New Roman"/>
          <w:sz w:val="24"/>
          <w:szCs w:val="24"/>
        </w:rPr>
        <w:t>; t</w:t>
      </w:r>
      <w:r w:rsidRPr="00AA6DC0">
        <w:rPr>
          <w:rFonts w:ascii="Times New Roman" w:hAnsi="Times New Roman" w:cs="Times New Roman"/>
          <w:sz w:val="24"/>
          <w:szCs w:val="24"/>
        </w:rPr>
        <w:t>he status of an entity does not change from one case to the next based on the nature of the suit</w:t>
      </w:r>
      <w:r>
        <w:rPr>
          <w:rFonts w:ascii="Times New Roman" w:hAnsi="Times New Roman" w:cs="Times New Roman"/>
          <w:sz w:val="24"/>
          <w:szCs w:val="24"/>
        </w:rPr>
        <w:t>. W</w:t>
      </w:r>
      <w:r w:rsidRPr="00AA6DC0">
        <w:rPr>
          <w:rFonts w:ascii="Times New Roman" w:hAnsi="Times New Roman" w:cs="Times New Roman"/>
          <w:sz w:val="24"/>
          <w:szCs w:val="24"/>
        </w:rPr>
        <w:t xml:space="preserve">aiver and abrogation are “second-stage inquiries as to whether, </w:t>
      </w:r>
      <w:r w:rsidRPr="00AA6DC0">
        <w:rPr>
          <w:rFonts w:ascii="Times New Roman" w:hAnsi="Times New Roman" w:cs="Times New Roman"/>
          <w:i/>
          <w:iCs/>
          <w:sz w:val="24"/>
          <w:szCs w:val="24"/>
        </w:rPr>
        <w:t>if</w:t>
      </w:r>
      <w:r w:rsidRPr="00AA6DC0">
        <w:rPr>
          <w:rFonts w:ascii="Times New Roman" w:hAnsi="Times New Roman" w:cs="Times New Roman"/>
          <w:sz w:val="24"/>
          <w:szCs w:val="24"/>
        </w:rPr>
        <w:t xml:space="preserve"> an entity is immune, that immunity may be overcome.” </w:t>
      </w:r>
      <w:r w:rsidRPr="00AA6DC0">
        <w:rPr>
          <w:rFonts w:ascii="Times New Roman" w:hAnsi="Times New Roman" w:cs="Times New Roman"/>
          <w:i/>
          <w:iCs/>
          <w:sz w:val="24"/>
          <w:szCs w:val="24"/>
        </w:rPr>
        <w:t>Id</w:t>
      </w:r>
      <w:r w:rsidRPr="00AA6DC0">
        <w:rPr>
          <w:rFonts w:ascii="Times New Roman" w:hAnsi="Times New Roman" w:cs="Times New Roman"/>
          <w:sz w:val="24"/>
          <w:szCs w:val="24"/>
        </w:rPr>
        <w:t xml:space="preserve">. (emphasis </w:t>
      </w:r>
      <w:r w:rsidRPr="00AA6DC0">
        <w:rPr>
          <w:rFonts w:ascii="Times New Roman" w:hAnsi="Times New Roman" w:cs="Times New Roman"/>
          <w:sz w:val="24"/>
          <w:szCs w:val="24"/>
        </w:rPr>
        <w:lastRenderedPageBreak/>
        <w:t>in original)</w:t>
      </w:r>
      <w:r w:rsidR="00676C42">
        <w:rPr>
          <w:rFonts w:ascii="Times New Roman" w:hAnsi="Times New Roman" w:cs="Times New Roman"/>
          <w:sz w:val="24"/>
          <w:szCs w:val="24"/>
        </w:rPr>
        <w:t xml:space="preserve"> </w:t>
      </w:r>
      <w:r w:rsidRPr="00AA6DC0">
        <w:rPr>
          <w:rFonts w:ascii="Times New Roman" w:hAnsi="Times New Roman" w:cs="Times New Roman"/>
          <w:sz w:val="24"/>
          <w:szCs w:val="24"/>
        </w:rPr>
        <w:t>(citations omitted</w:t>
      </w:r>
      <w:r w:rsidR="004910B8" w:rsidRPr="004910B8">
        <w:rPr>
          <w:rFonts w:ascii="Times New Roman" w:hAnsi="Times New Roman" w:cs="Times New Roman"/>
          <w:sz w:val="24"/>
          <w:szCs w:val="24"/>
        </w:rPr>
        <w:t xml:space="preserve">); </w:t>
      </w:r>
      <w:r w:rsidR="004910B8" w:rsidRPr="00830BB2">
        <w:rPr>
          <w:rFonts w:ascii="Times New Roman" w:hAnsi="Times New Roman" w:cs="Times New Roman"/>
          <w:i/>
          <w:iCs/>
          <w:sz w:val="24"/>
          <w:szCs w:val="24"/>
        </w:rPr>
        <w:t>see also Kohn v. State Bar of California,</w:t>
      </w:r>
      <w:r w:rsidR="004910B8" w:rsidRPr="00830BB2">
        <w:rPr>
          <w:rFonts w:ascii="Times New Roman" w:hAnsi="Times New Roman" w:cs="Times New Roman"/>
          <w:sz w:val="24"/>
          <w:szCs w:val="24"/>
        </w:rPr>
        <w:t> 119 F.4th 693, 696 (9th Cir. 2024) (discussing the three-part inquiry for the abrogation analysis of Title II ADA claims)</w:t>
      </w:r>
      <w:r w:rsidRPr="00830BB2">
        <w:rPr>
          <w:rFonts w:ascii="Times New Roman" w:hAnsi="Times New Roman" w:cs="Times New Roman"/>
          <w:sz w:val="24"/>
          <w:szCs w:val="24"/>
        </w:rPr>
        <w:t>.</w:t>
      </w:r>
    </w:p>
    <w:p w14:paraId="5FC5ECCA"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4719F3F3" w14:textId="5F591FE0"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67704F">
        <w:rPr>
          <w:rFonts w:ascii="Times New Roman" w:hAnsi="Times New Roman" w:cs="Times New Roman"/>
          <w:i/>
          <w:iCs/>
          <w:sz w:val="24"/>
          <w:szCs w:val="24"/>
        </w:rPr>
        <w:t>Will</w:t>
      </w:r>
      <w:r w:rsidRPr="0067704F">
        <w:rPr>
          <w:rFonts w:ascii="Times New Roman" w:hAnsi="Times New Roman" w:cs="Times New Roman"/>
          <w:sz w:val="24"/>
          <w:szCs w:val="24"/>
        </w:rPr>
        <w:t xml:space="preserve">, 491 U.S. at 71 n.10. </w:t>
      </w:r>
      <w:r w:rsidR="000127A2" w:rsidRPr="009203B9">
        <w:rPr>
          <w:rFonts w:ascii="Times New Roman" w:hAnsi="Times New Roman" w:cs="Times New Roman"/>
          <w:sz w:val="24"/>
          <w:szCs w:val="24"/>
        </w:rPr>
        <w:t xml:space="preserve">In </w:t>
      </w:r>
      <w:r w:rsidR="000127A2" w:rsidRPr="009203B9">
        <w:rPr>
          <w:rFonts w:ascii="Times New Roman" w:hAnsi="Times New Roman" w:cs="Times New Roman"/>
          <w:i/>
          <w:iCs/>
          <w:sz w:val="24"/>
          <w:szCs w:val="24"/>
        </w:rPr>
        <w:t>Matsumoto v. Labrador</w:t>
      </w:r>
      <w:r w:rsidR="000127A2" w:rsidRPr="009203B9">
        <w:rPr>
          <w:rFonts w:ascii="Times New Roman" w:hAnsi="Times New Roman" w:cs="Times New Roman"/>
          <w:sz w:val="24"/>
          <w:szCs w:val="24"/>
        </w:rPr>
        <w:t>, 122 F.4th 787, 802 (9th Cir. 2024), the court held that a p</w:t>
      </w:r>
      <w:r w:rsidR="000127A2" w:rsidRPr="009203B9">
        <w:rPr>
          <w:rFonts w:ascii="Times New Roman" w:hAnsi="Times New Roman" w:cs="Times New Roman"/>
          <w:bCs/>
          <w:sz w:val="24"/>
          <w:szCs w:val="24"/>
        </w:rPr>
        <w:t>re-enforcement action brought by abortion rights advocacy organizations against the Idaho attorney general fell within an exception to </w:t>
      </w:r>
      <w:r w:rsidR="000127A2" w:rsidRPr="009203B9">
        <w:rPr>
          <w:rFonts w:ascii="Times New Roman" w:hAnsi="Times New Roman" w:cs="Times New Roman"/>
          <w:bCs/>
          <w:i/>
          <w:iCs/>
          <w:sz w:val="24"/>
          <w:szCs w:val="24"/>
        </w:rPr>
        <w:t xml:space="preserve">Ex </w:t>
      </w:r>
      <w:proofErr w:type="spellStart"/>
      <w:r w:rsidR="000127A2" w:rsidRPr="009203B9">
        <w:rPr>
          <w:rFonts w:ascii="Times New Roman" w:hAnsi="Times New Roman" w:cs="Times New Roman"/>
          <w:bCs/>
          <w:i/>
          <w:iCs/>
          <w:sz w:val="24"/>
          <w:szCs w:val="24"/>
        </w:rPr>
        <w:t>parte</w:t>
      </w:r>
      <w:proofErr w:type="spellEnd"/>
      <w:r w:rsidR="000127A2" w:rsidRPr="009203B9">
        <w:rPr>
          <w:rFonts w:ascii="Times New Roman" w:hAnsi="Times New Roman" w:cs="Times New Roman"/>
          <w:bCs/>
          <w:i/>
          <w:iCs/>
          <w:sz w:val="24"/>
          <w:szCs w:val="24"/>
        </w:rPr>
        <w:t xml:space="preserve"> Young</w:t>
      </w:r>
      <w:r w:rsidR="000127A2" w:rsidRPr="009203B9">
        <w:rPr>
          <w:rFonts w:ascii="Times New Roman" w:hAnsi="Times New Roman" w:cs="Times New Roman"/>
          <w:bCs/>
          <w:sz w:val="24"/>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000127A2" w:rsidRPr="009203B9">
        <w:rPr>
          <w:rFonts w:ascii="Times New Roman" w:hAnsi="Times New Roman" w:cs="Times New Roman"/>
          <w:bCs/>
          <w:i/>
          <w:iCs/>
          <w:sz w:val="24"/>
          <w:szCs w:val="24"/>
        </w:rPr>
        <w:t>Id.</w:t>
      </w:r>
      <w:r w:rsidR="000127A2" w:rsidRPr="009203B9">
        <w:rPr>
          <w:rFonts w:ascii="Times New Roman" w:hAnsi="Times New Roman" w:cs="Times New Roman"/>
          <w:bCs/>
          <w:sz w:val="24"/>
          <w:szCs w:val="24"/>
        </w:rPr>
        <w:t xml:space="preserve"> </w:t>
      </w:r>
      <w:r w:rsidR="006F37D3" w:rsidRPr="009203B9">
        <w:rPr>
          <w:rFonts w:ascii="Times New Roman" w:hAnsi="Times New Roman" w:cs="Times New Roman"/>
          <w:bCs/>
          <w:i/>
          <w:iCs/>
          <w:sz w:val="24"/>
          <w:szCs w:val="24"/>
        </w:rPr>
        <w:t>Accord Planned Parenthood Great Nw., Hawaii, Alaska, Indiana, Kentucky v. Labrador</w:t>
      </w:r>
      <w:r w:rsidR="006F37D3" w:rsidRPr="009203B9">
        <w:rPr>
          <w:rFonts w:ascii="Times New Roman" w:hAnsi="Times New Roman" w:cs="Times New Roman"/>
          <w:bCs/>
          <w:sz w:val="24"/>
          <w:szCs w:val="24"/>
        </w:rPr>
        <w:t>, 122 F.4th 825, 843 (9th Cir. 2024).</w:t>
      </w:r>
      <w:r w:rsidR="006F37D3" w:rsidRPr="006F37D3">
        <w:rPr>
          <w:rFonts w:ascii="Times New Roman" w:hAnsi="Times New Roman" w:cs="Times New Roman"/>
          <w:bCs/>
          <w:sz w:val="24"/>
          <w:szCs w:val="24"/>
        </w:rPr>
        <w:t xml:space="preserve"> </w:t>
      </w:r>
      <w:r w:rsidRPr="0067704F">
        <w:rPr>
          <w:rFonts w:ascii="Times New Roman" w:hAnsi="Times New Roman" w:cs="Times New Roman"/>
          <w:sz w:val="24"/>
          <w:szCs w:val="24"/>
        </w:rPr>
        <w:t xml:space="preserve">A state official may be sued under § 1983 in his or her individual capacity for damages.  </w:t>
      </w:r>
      <w:r w:rsidRPr="0067704F">
        <w:rPr>
          <w:rFonts w:ascii="Times New Roman" w:hAnsi="Times New Roman" w:cs="Times New Roman"/>
          <w:i/>
          <w:iCs/>
          <w:sz w:val="24"/>
          <w:szCs w:val="24"/>
        </w:rPr>
        <w:t>Kentucky v. Graham</w:t>
      </w:r>
      <w:r w:rsidRPr="0067704F">
        <w:rPr>
          <w:rFonts w:ascii="Times New Roman" w:hAnsi="Times New Roman" w:cs="Times New Roman"/>
          <w:sz w:val="24"/>
          <w:szCs w:val="24"/>
        </w:rPr>
        <w:t xml:space="preserve">, 473 U.S. 159, 165 (1985); </w:t>
      </w:r>
      <w:r w:rsidRPr="0067704F">
        <w:rPr>
          <w:rFonts w:ascii="Times New Roman" w:hAnsi="Times New Roman" w:cs="Times New Roman"/>
          <w:i/>
          <w:iCs/>
          <w:sz w:val="24"/>
          <w:szCs w:val="24"/>
        </w:rPr>
        <w:t>but see Avalos v. Baca</w:t>
      </w:r>
      <w:r w:rsidRPr="0067704F">
        <w:rPr>
          <w:rFonts w:ascii="Times New Roman" w:hAnsi="Times New Roman" w:cs="Times New Roman"/>
          <w:sz w:val="24"/>
          <w:szCs w:val="24"/>
        </w:rPr>
        <w:t>, 596 F.3d 583, 587 (9th Cir. 2010) (holding that in order to be individually liable under § 1983, individual must personally participate in alleged rights deprivation</w:t>
      </w:r>
      <w:r w:rsidRPr="00313B11">
        <w:rPr>
          <w:rFonts w:ascii="Times New Roman" w:hAnsi="Times New Roman" w:cs="Times New Roman"/>
          <w:sz w:val="24"/>
          <w:szCs w:val="24"/>
        </w:rPr>
        <w:t>)</w:t>
      </w:r>
      <w:r w:rsidR="000220B3" w:rsidRPr="00313B11">
        <w:rPr>
          <w:rFonts w:ascii="Times New Roman" w:eastAsiaTheme="minorEastAsia" w:hAnsi="Times New Roman" w:cs="Times New Roman"/>
          <w:i/>
          <w:iCs/>
          <w:sz w:val="24"/>
          <w:szCs w:val="24"/>
        </w:rPr>
        <w:t>.</w:t>
      </w:r>
      <w:r w:rsidR="000220B3" w:rsidRPr="00313B11">
        <w:rPr>
          <w:rFonts w:ascii="Times New Roman" w:hAnsi="Times New Roman" w:cs="Times New Roman"/>
          <w:i/>
          <w:iCs/>
          <w:sz w:val="24"/>
          <w:szCs w:val="24"/>
        </w:rPr>
        <w:t xml:space="preserve"> K. J. v. Jackson</w:t>
      </w:r>
      <w:r w:rsidR="000220B3" w:rsidRPr="00313B11">
        <w:rPr>
          <w:rFonts w:ascii="Times New Roman" w:hAnsi="Times New Roman" w:cs="Times New Roman"/>
          <w:sz w:val="24"/>
          <w:szCs w:val="24"/>
        </w:rPr>
        <w:t xml:space="preserve">, 127 F.4th 1239, 1251 (9th Cir. 2025) (holding that the plaintiff could sue a </w:t>
      </w:r>
      <w:proofErr w:type="gramStart"/>
      <w:r w:rsidR="000220B3" w:rsidRPr="00313B11">
        <w:rPr>
          <w:rFonts w:ascii="Times New Roman" w:hAnsi="Times New Roman" w:cs="Times New Roman"/>
          <w:sz w:val="24"/>
          <w:szCs w:val="24"/>
        </w:rPr>
        <w:t>public school</w:t>
      </w:r>
      <w:proofErr w:type="gramEnd"/>
      <w:r w:rsidR="000220B3" w:rsidRPr="00313B11">
        <w:rPr>
          <w:rFonts w:ascii="Times New Roman" w:hAnsi="Times New Roman" w:cs="Times New Roman"/>
          <w:sz w:val="24"/>
          <w:szCs w:val="24"/>
        </w:rPr>
        <w:t xml:space="preserve"> superintendent for expungement of information from school records because such expungement was a form of prospective relief that the plaintiff could receive under the </w:t>
      </w:r>
      <w:r w:rsidR="000220B3" w:rsidRPr="00313B11">
        <w:rPr>
          <w:rFonts w:ascii="Times New Roman" w:hAnsi="Times New Roman" w:cs="Times New Roman"/>
          <w:i/>
          <w:iCs/>
          <w:sz w:val="24"/>
          <w:szCs w:val="24"/>
        </w:rPr>
        <w:t xml:space="preserve">Ex </w:t>
      </w:r>
      <w:proofErr w:type="spellStart"/>
      <w:r w:rsidR="000220B3" w:rsidRPr="00313B11">
        <w:rPr>
          <w:rFonts w:ascii="Times New Roman" w:hAnsi="Times New Roman" w:cs="Times New Roman"/>
          <w:i/>
          <w:iCs/>
          <w:sz w:val="24"/>
          <w:szCs w:val="24"/>
        </w:rPr>
        <w:t>parte</w:t>
      </w:r>
      <w:proofErr w:type="spellEnd"/>
      <w:r w:rsidR="000220B3" w:rsidRPr="00313B11">
        <w:rPr>
          <w:rFonts w:ascii="Times New Roman" w:hAnsi="Times New Roman" w:cs="Times New Roman"/>
          <w:i/>
          <w:iCs/>
          <w:sz w:val="24"/>
          <w:szCs w:val="24"/>
        </w:rPr>
        <w:t xml:space="preserve"> Young</w:t>
      </w:r>
      <w:r w:rsidR="000220B3" w:rsidRPr="00313B11">
        <w:rPr>
          <w:rFonts w:ascii="Times New Roman" w:hAnsi="Times New Roman" w:cs="Times New Roman"/>
          <w:sz w:val="24"/>
          <w:szCs w:val="24"/>
        </w:rPr>
        <w:t xml:space="preserve"> doctrine)</w:t>
      </w:r>
      <w:r w:rsidRPr="00313B11">
        <w:rPr>
          <w:rFonts w:ascii="Times New Roman" w:hAnsi="Times New Roman" w:cs="Times New Roman"/>
          <w:sz w:val="24"/>
          <w:szCs w:val="24"/>
        </w:rPr>
        <w:t>.</w:t>
      </w:r>
      <w:r w:rsidRPr="0067704F">
        <w:rPr>
          <w:rFonts w:ascii="Times New Roman" w:hAnsi="Times New Roman" w:cs="Times New Roman"/>
          <w:sz w:val="24"/>
          <w:szCs w:val="24"/>
        </w:rPr>
        <w:t xml:space="preserve">  </w:t>
      </w:r>
    </w:p>
    <w:p w14:paraId="49B080B3" w14:textId="77777777" w:rsidR="0067704F" w:rsidRDefault="0067704F" w:rsidP="0067704F">
      <w:pPr>
        <w:autoSpaceDE w:val="0"/>
        <w:autoSpaceDN w:val="0"/>
        <w:adjustRightInd w:val="0"/>
        <w:spacing w:after="0" w:line="240" w:lineRule="auto"/>
        <w:rPr>
          <w:rFonts w:ascii="Times New Roman" w:hAnsi="Times New Roman" w:cs="Times New Roman"/>
          <w:sz w:val="24"/>
          <w:szCs w:val="24"/>
        </w:rPr>
      </w:pPr>
    </w:p>
    <w:p w14:paraId="56CCBF9C" w14:textId="77777777" w:rsidR="00467DDC" w:rsidRPr="00065450" w:rsidRDefault="00467DDC" w:rsidP="00467DDC">
      <w:pPr>
        <w:autoSpaceDE w:val="0"/>
        <w:autoSpaceDN w:val="0"/>
        <w:adjustRightInd w:val="0"/>
        <w:spacing w:after="0" w:line="240" w:lineRule="auto"/>
        <w:rPr>
          <w:rFonts w:ascii="Times New Roman" w:eastAsia="Calibri" w:hAnsi="Times New Roman" w:cs="Times New Roman"/>
          <w:b/>
          <w:bCs/>
        </w:rPr>
      </w:pPr>
      <w:r w:rsidRPr="00065450">
        <w:rPr>
          <w:rFonts w:ascii="Times New Roman" w:eastAsia="Calibri" w:hAnsi="Times New Roman" w:cs="Times New Roman"/>
          <w:b/>
          <w:bCs/>
        </w:rPr>
        <w:t>Exhaustion under the Prison Litigation Reform Act</w:t>
      </w:r>
    </w:p>
    <w:p w14:paraId="07DFA11C" w14:textId="77777777" w:rsidR="00467DDC" w:rsidRDefault="00467DDC" w:rsidP="00467DDC">
      <w:pPr>
        <w:autoSpaceDE w:val="0"/>
        <w:autoSpaceDN w:val="0"/>
        <w:adjustRightInd w:val="0"/>
        <w:spacing w:after="0" w:line="240" w:lineRule="auto"/>
        <w:rPr>
          <w:rFonts w:ascii="Times New Roman" w:eastAsia="Calibri" w:hAnsi="Times New Roman" w:cs="Times New Roman"/>
        </w:rPr>
      </w:pPr>
    </w:p>
    <w:p w14:paraId="2934760E" w14:textId="6AABA7D5" w:rsidR="00467DDC" w:rsidRDefault="00467DDC" w:rsidP="00467DDC">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w:t>
      </w:r>
      <w:r w:rsidRPr="007A485C">
        <w:rPr>
          <w:rFonts w:ascii="Times New Roman" w:hAnsi="Times New Roman" w:cs="Times New Roman"/>
        </w:rPr>
        <w:t>The Prison Litigation Reform Act of 1995 (PLRA) requires prisoners with complaints about prison conditions to exhaust available grievance procedures before bringing suit in federal court.</w:t>
      </w:r>
      <w:r>
        <w:rPr>
          <w:rFonts w:ascii="Times New Roman" w:hAnsi="Times New Roman" w:cs="Times New Roman"/>
        </w:rPr>
        <w:t>”</w:t>
      </w:r>
      <w:r w:rsidRPr="007A485C">
        <w:rPr>
          <w:rFonts w:ascii="Times New Roman" w:hAnsi="Times New Roman" w:cs="Times New Roman"/>
        </w:rPr>
        <w:t> </w:t>
      </w:r>
      <w:r w:rsidRPr="00661727">
        <w:rPr>
          <w:rFonts w:ascii="Times New Roman" w:hAnsi="Times New Roman" w:cs="Times New Roman"/>
          <w:i/>
          <w:iCs/>
        </w:rPr>
        <w:t>Perttu v. Richards</w:t>
      </w:r>
      <w:r>
        <w:rPr>
          <w:rFonts w:ascii="Times New Roman" w:hAnsi="Times New Roman" w:cs="Times New Roman"/>
        </w:rPr>
        <w:t xml:space="preserve">, </w:t>
      </w:r>
      <w:r w:rsidRPr="00467DDC">
        <w:rPr>
          <w:rFonts w:ascii="Times New Roman" w:hAnsi="Times New Roman" w:cs="Times New Roman"/>
        </w:rPr>
        <w:t>605 U.S. 460</w:t>
      </w:r>
      <w:r>
        <w:rPr>
          <w:rFonts w:ascii="Times New Roman" w:hAnsi="Times New Roman" w:cs="Times New Roman"/>
        </w:rPr>
        <w:t xml:space="preserve">, 464 (2025) (citing </w:t>
      </w:r>
      <w:r w:rsidRPr="00E172B0">
        <w:rPr>
          <w:rFonts w:ascii="Times New Roman" w:hAnsi="Times New Roman" w:cs="Times New Roman"/>
        </w:rPr>
        <w:t>42 U.S.C. § 1997e(a)</w:t>
      </w:r>
      <w:r>
        <w:rPr>
          <w:rFonts w:ascii="Times New Roman" w:hAnsi="Times New Roman" w:cs="Times New Roman"/>
        </w:rPr>
        <w:t>)</w:t>
      </w:r>
      <w:r w:rsidRPr="007A485C">
        <w:rPr>
          <w:rFonts w:ascii="Times New Roman" w:hAnsi="Times New Roman" w:cs="Times New Roman"/>
        </w:rPr>
        <w:t>.</w:t>
      </w:r>
      <w:r>
        <w:rPr>
          <w:rFonts w:ascii="Times New Roman" w:hAnsi="Times New Roman" w:cs="Times New Roman"/>
        </w:rPr>
        <w:t xml:space="preserve"> In </w:t>
      </w:r>
      <w:r w:rsidRPr="00065450">
        <w:rPr>
          <w:rFonts w:ascii="Times New Roman" w:hAnsi="Times New Roman" w:cs="Times New Roman"/>
          <w:i/>
          <w:iCs/>
        </w:rPr>
        <w:t>Perttu</w:t>
      </w:r>
      <w:r w:rsidRPr="00467DDC">
        <w:rPr>
          <w:rFonts w:ascii="Times New Roman" w:hAnsi="Times New Roman" w:cs="Times New Roman"/>
        </w:rPr>
        <w:t xml:space="preserve">, </w:t>
      </w:r>
      <w:r w:rsidRPr="00283E2F">
        <w:rPr>
          <w:rFonts w:ascii="Times New Roman" w:hAnsi="Times New Roman" w:cs="Times New Roman"/>
        </w:rPr>
        <w:t>Richards</w:t>
      </w:r>
      <w:r>
        <w:rPr>
          <w:rFonts w:ascii="Times New Roman" w:hAnsi="Times New Roman" w:cs="Times New Roman"/>
        </w:rPr>
        <w:t>,</w:t>
      </w:r>
      <w:r w:rsidRPr="00283E2F">
        <w:rPr>
          <w:rFonts w:ascii="Times New Roman" w:hAnsi="Times New Roman" w:cs="Times New Roman"/>
        </w:rPr>
        <w:t xml:space="preserve"> a prisoner in Michigan</w:t>
      </w:r>
      <w:r>
        <w:rPr>
          <w:rFonts w:ascii="Times New Roman" w:hAnsi="Times New Roman" w:cs="Times New Roman"/>
        </w:rPr>
        <w:t>, alleged</w:t>
      </w:r>
      <w:r w:rsidRPr="00283E2F">
        <w:rPr>
          <w:rFonts w:ascii="Times New Roman" w:hAnsi="Times New Roman" w:cs="Times New Roman"/>
        </w:rPr>
        <w:t xml:space="preserve"> that he was sexually abused by Thomas Perttu, a prison employee. </w:t>
      </w:r>
      <w:r w:rsidRPr="00065450">
        <w:rPr>
          <w:rFonts w:ascii="Times New Roman" w:hAnsi="Times New Roman" w:cs="Times New Roman"/>
          <w:i/>
          <w:iCs/>
        </w:rPr>
        <w:t>Id.</w:t>
      </w:r>
      <w:r>
        <w:rPr>
          <w:rFonts w:ascii="Times New Roman" w:hAnsi="Times New Roman" w:cs="Times New Roman"/>
        </w:rPr>
        <w:t xml:space="preserve"> Richards</w:t>
      </w:r>
      <w:r w:rsidRPr="00283E2F">
        <w:rPr>
          <w:rFonts w:ascii="Times New Roman" w:hAnsi="Times New Roman" w:cs="Times New Roman"/>
        </w:rPr>
        <w:t xml:space="preserve"> also allege</w:t>
      </w:r>
      <w:r>
        <w:rPr>
          <w:rFonts w:ascii="Times New Roman" w:hAnsi="Times New Roman" w:cs="Times New Roman"/>
        </w:rPr>
        <w:t>d</w:t>
      </w:r>
      <w:r w:rsidRPr="00283E2F">
        <w:rPr>
          <w:rFonts w:ascii="Times New Roman" w:hAnsi="Times New Roman" w:cs="Times New Roman"/>
        </w:rPr>
        <w:t xml:space="preserve"> that when he tried to file grievance</w:t>
      </w:r>
      <w:r>
        <w:rPr>
          <w:rFonts w:ascii="Times New Roman" w:hAnsi="Times New Roman" w:cs="Times New Roman"/>
        </w:rPr>
        <w:t>s</w:t>
      </w:r>
      <w:r w:rsidRPr="00283E2F">
        <w:rPr>
          <w:rFonts w:ascii="Times New Roman" w:hAnsi="Times New Roman" w:cs="Times New Roman"/>
        </w:rPr>
        <w:t xml:space="preserve"> about the abuse, Perttu destroyed them and threatened to kill him if he filed more.</w:t>
      </w:r>
      <w:r>
        <w:rPr>
          <w:rFonts w:ascii="Times New Roman" w:hAnsi="Times New Roman" w:cs="Times New Roman"/>
        </w:rPr>
        <w:t xml:space="preserve"> </w:t>
      </w:r>
      <w:r w:rsidRPr="00283E2F">
        <w:rPr>
          <w:rFonts w:ascii="Times New Roman" w:hAnsi="Times New Roman" w:cs="Times New Roman"/>
          <w:i/>
          <w:iCs/>
        </w:rPr>
        <w:t>Id.</w:t>
      </w:r>
      <w:r>
        <w:rPr>
          <w:rFonts w:ascii="Times New Roman" w:hAnsi="Times New Roman" w:cs="Times New Roman"/>
        </w:rPr>
        <w:t xml:space="preserve"> </w:t>
      </w:r>
      <w:r w:rsidRPr="00B8614D">
        <w:rPr>
          <w:rFonts w:ascii="Times New Roman" w:hAnsi="Times New Roman" w:cs="Times New Roman"/>
        </w:rPr>
        <w:t>Richards sued Perttu for violating his First Amendment right to file grievances</w:t>
      </w:r>
      <w:r>
        <w:rPr>
          <w:rFonts w:ascii="Times New Roman" w:hAnsi="Times New Roman" w:cs="Times New Roman"/>
        </w:rPr>
        <w:t>, and</w:t>
      </w:r>
      <w:r w:rsidRPr="00B8614D">
        <w:rPr>
          <w:rFonts w:ascii="Times New Roman" w:hAnsi="Times New Roman" w:cs="Times New Roman"/>
        </w:rPr>
        <w:t xml:space="preserve"> Perttu responded that Richards had failed to exhaust available grievance procedures as required by the PLRA.</w:t>
      </w:r>
      <w:r>
        <w:rPr>
          <w:rFonts w:ascii="Times New Roman" w:hAnsi="Times New Roman" w:cs="Times New Roman"/>
        </w:rPr>
        <w:t xml:space="preserve"> </w:t>
      </w:r>
      <w:r w:rsidRPr="00EA559D">
        <w:rPr>
          <w:rFonts w:ascii="Times New Roman" w:hAnsi="Times New Roman" w:cs="Times New Roman"/>
          <w:i/>
          <w:iCs/>
        </w:rPr>
        <w:t>Id.</w:t>
      </w:r>
      <w:r w:rsidRPr="00B8614D">
        <w:rPr>
          <w:rFonts w:ascii="Times New Roman" w:hAnsi="Times New Roman" w:cs="Times New Roman"/>
        </w:rPr>
        <w:t xml:space="preserve"> The parties agree</w:t>
      </w:r>
      <w:r>
        <w:rPr>
          <w:rFonts w:ascii="Times New Roman" w:hAnsi="Times New Roman" w:cs="Times New Roman"/>
        </w:rPr>
        <w:t>d</w:t>
      </w:r>
      <w:r w:rsidRPr="00B8614D">
        <w:rPr>
          <w:rFonts w:ascii="Times New Roman" w:hAnsi="Times New Roman" w:cs="Times New Roman"/>
        </w:rPr>
        <w:t xml:space="preserve"> that the exhaustion and First Amendment issues </w:t>
      </w:r>
      <w:r>
        <w:rPr>
          <w:rFonts w:ascii="Times New Roman" w:hAnsi="Times New Roman" w:cs="Times New Roman"/>
        </w:rPr>
        <w:t>were</w:t>
      </w:r>
      <w:r w:rsidRPr="00B8614D">
        <w:rPr>
          <w:rFonts w:ascii="Times New Roman" w:hAnsi="Times New Roman" w:cs="Times New Roman"/>
        </w:rPr>
        <w:t xml:space="preserve"> intertwined, </w:t>
      </w:r>
      <w:r>
        <w:rPr>
          <w:rFonts w:ascii="Times New Roman" w:hAnsi="Times New Roman" w:cs="Times New Roman"/>
        </w:rPr>
        <w:t>as</w:t>
      </w:r>
      <w:r w:rsidRPr="00B8614D">
        <w:rPr>
          <w:rFonts w:ascii="Times New Roman" w:hAnsi="Times New Roman" w:cs="Times New Roman"/>
        </w:rPr>
        <w:t xml:space="preserve"> both depend</w:t>
      </w:r>
      <w:r>
        <w:rPr>
          <w:rFonts w:ascii="Times New Roman" w:hAnsi="Times New Roman" w:cs="Times New Roman"/>
        </w:rPr>
        <w:t>ed</w:t>
      </w:r>
      <w:r w:rsidRPr="00B8614D">
        <w:rPr>
          <w:rFonts w:ascii="Times New Roman" w:hAnsi="Times New Roman" w:cs="Times New Roman"/>
        </w:rPr>
        <w:t xml:space="preserve"> on whether Perttu did in fact destroy Richards’s grievances and retaliate against him.</w:t>
      </w:r>
      <w:r>
        <w:rPr>
          <w:rFonts w:ascii="Times New Roman" w:hAnsi="Times New Roman" w:cs="Times New Roman"/>
        </w:rPr>
        <w:t xml:space="preserve"> </w:t>
      </w:r>
      <w:r w:rsidRPr="00065450">
        <w:rPr>
          <w:rFonts w:ascii="Times New Roman" w:hAnsi="Times New Roman" w:cs="Times New Roman"/>
          <w:i/>
          <w:iCs/>
        </w:rPr>
        <w:t>Id.</w:t>
      </w:r>
      <w:r>
        <w:rPr>
          <w:rFonts w:ascii="Times New Roman" w:hAnsi="Times New Roman" w:cs="Times New Roman"/>
        </w:rPr>
        <w:t xml:space="preserve"> The Supreme Court held that “</w:t>
      </w:r>
      <w:r w:rsidRPr="007C4FBD">
        <w:rPr>
          <w:rFonts w:ascii="Times New Roman" w:hAnsi="Times New Roman" w:cs="Times New Roman"/>
        </w:rPr>
        <w:t>parties are entitled to a jury trial on PLRA exhaustion when that issue is intertwined with the merits of a claim protected by the Seventh Amendment.</w:t>
      </w:r>
      <w:r>
        <w:rPr>
          <w:rFonts w:ascii="Times New Roman" w:hAnsi="Times New Roman" w:cs="Times New Roman"/>
        </w:rPr>
        <w:t xml:space="preserve">” </w:t>
      </w:r>
      <w:r w:rsidRPr="00065450">
        <w:rPr>
          <w:rFonts w:ascii="Times New Roman" w:hAnsi="Times New Roman" w:cs="Times New Roman"/>
          <w:i/>
          <w:iCs/>
        </w:rPr>
        <w:t>Id.</w:t>
      </w:r>
      <w:r>
        <w:rPr>
          <w:rFonts w:ascii="Times New Roman" w:hAnsi="Times New Roman" w:cs="Times New Roman"/>
        </w:rPr>
        <w:t xml:space="preserve"> </w:t>
      </w:r>
      <w:proofErr w:type="gramStart"/>
      <w:r>
        <w:rPr>
          <w:rFonts w:ascii="Times New Roman" w:hAnsi="Times New Roman" w:cs="Times New Roman"/>
        </w:rPr>
        <w:t>at</w:t>
      </w:r>
      <w:proofErr w:type="gramEnd"/>
      <w:r>
        <w:rPr>
          <w:rFonts w:ascii="Times New Roman" w:hAnsi="Times New Roman" w:cs="Times New Roman"/>
        </w:rPr>
        <w:t xml:space="preserve"> 1807.</w:t>
      </w:r>
    </w:p>
    <w:p w14:paraId="4825B3EC" w14:textId="77777777" w:rsidR="00467DDC" w:rsidRPr="0067704F" w:rsidRDefault="00467DDC" w:rsidP="0067704F">
      <w:pPr>
        <w:autoSpaceDE w:val="0"/>
        <w:autoSpaceDN w:val="0"/>
        <w:adjustRightInd w:val="0"/>
        <w:spacing w:after="0" w:line="240" w:lineRule="auto"/>
        <w:rPr>
          <w:rFonts w:ascii="Times New Roman" w:hAnsi="Times New Roman" w:cs="Times New Roman"/>
          <w:sz w:val="24"/>
          <w:szCs w:val="24"/>
        </w:rPr>
      </w:pPr>
    </w:p>
    <w:p w14:paraId="1346418D" w14:textId="7C0A8C80"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r w:rsidRPr="0067704F">
        <w:rPr>
          <w:rFonts w:ascii="Times New Roman" w:hAnsi="Times New Roman" w:cs="Times New Roman"/>
          <w:sz w:val="24"/>
          <w:szCs w:val="24"/>
        </w:rPr>
        <w:tab/>
        <w:t xml:space="preserve">The Committee also recommends the Section 1983 Outline prepared by the Office of Staff Attorneys, United States Court of Appeals for the Ninth Circuit, available at: </w:t>
      </w:r>
      <w:hyperlink r:id="rId4" w:history="1">
        <w:r w:rsidR="000A14C8" w:rsidRPr="00F30B9F">
          <w:rPr>
            <w:rStyle w:val="Hyperlink"/>
            <w:rFonts w:ascii="Times New Roman" w:hAnsi="Times New Roman" w:cs="Times New Roman"/>
            <w:sz w:val="24"/>
            <w:szCs w:val="24"/>
          </w:rPr>
          <w:t>https://www.ca9.uscourts.gov/guides/section-1983-outline/</w:t>
        </w:r>
      </w:hyperlink>
      <w:r w:rsidR="00F30B9F" w:rsidRPr="00F30B9F">
        <w:rPr>
          <w:rFonts w:ascii="Times New Roman" w:hAnsi="Times New Roman" w:cs="Times New Roman"/>
          <w:sz w:val="24"/>
          <w:szCs w:val="24"/>
        </w:rPr>
        <w:t xml:space="preserve"> or https://perma.cc/GHB2-93XS</w:t>
      </w:r>
    </w:p>
    <w:p w14:paraId="094D6EA1"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7A99D700" w14:textId="77777777" w:rsidR="0067704F" w:rsidRPr="0067704F" w:rsidRDefault="0067704F" w:rsidP="0067704F">
      <w:pPr>
        <w:autoSpaceDE w:val="0"/>
        <w:autoSpaceDN w:val="0"/>
        <w:adjustRightInd w:val="0"/>
        <w:spacing w:after="0" w:line="240" w:lineRule="auto"/>
        <w:rPr>
          <w:rFonts w:ascii="Times New Roman" w:hAnsi="Times New Roman" w:cs="Times New Roman"/>
          <w:sz w:val="24"/>
          <w:szCs w:val="24"/>
        </w:rPr>
      </w:pPr>
    </w:p>
    <w:p w14:paraId="7ADA03E5" w14:textId="6B6695C1" w:rsidR="0067704F" w:rsidRPr="0067704F" w:rsidRDefault="0067704F" w:rsidP="0067704F">
      <w:pPr>
        <w:autoSpaceDE w:val="0"/>
        <w:autoSpaceDN w:val="0"/>
        <w:adjustRightInd w:val="0"/>
        <w:spacing w:after="0" w:line="240" w:lineRule="auto"/>
        <w:jc w:val="right"/>
        <w:rPr>
          <w:rFonts w:ascii="Times New Roman" w:hAnsi="Times New Roman" w:cs="Times New Roman"/>
          <w:sz w:val="24"/>
          <w:szCs w:val="24"/>
        </w:rPr>
      </w:pPr>
      <w:r w:rsidRPr="0067704F">
        <w:rPr>
          <w:rFonts w:ascii="Times New Roman" w:hAnsi="Times New Roman" w:cs="Times New Roman"/>
          <w:i/>
          <w:iCs/>
          <w:sz w:val="24"/>
          <w:szCs w:val="24"/>
        </w:rPr>
        <w:t xml:space="preserve">Revised </w:t>
      </w:r>
      <w:r w:rsidR="00160182">
        <w:rPr>
          <w:rFonts w:ascii="Times New Roman" w:hAnsi="Times New Roman" w:cs="Times New Roman"/>
          <w:i/>
          <w:iCs/>
          <w:sz w:val="24"/>
          <w:szCs w:val="24"/>
        </w:rPr>
        <w:t>September</w:t>
      </w:r>
      <w:r w:rsidR="000127A2">
        <w:rPr>
          <w:rFonts w:ascii="Times New Roman" w:hAnsi="Times New Roman" w:cs="Times New Roman"/>
          <w:i/>
          <w:iCs/>
          <w:sz w:val="24"/>
          <w:szCs w:val="24"/>
        </w:rPr>
        <w:t>2025</w:t>
      </w:r>
    </w:p>
    <w:p w14:paraId="296AA8C8" w14:textId="1D85E066" w:rsidR="00FE7F82" w:rsidRPr="0067704F" w:rsidRDefault="00FE7F82">
      <w:pPr>
        <w:rPr>
          <w:rFonts w:ascii="Times New Roman" w:hAnsi="Times New Roman" w:cs="Times New Roman"/>
          <w:sz w:val="24"/>
          <w:szCs w:val="24"/>
        </w:rPr>
      </w:pPr>
    </w:p>
    <w:sectPr w:rsidR="00FE7F82" w:rsidRPr="00677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4F"/>
    <w:rsid w:val="000127A2"/>
    <w:rsid w:val="000220B3"/>
    <w:rsid w:val="000A14C8"/>
    <w:rsid w:val="00124E24"/>
    <w:rsid w:val="00146C03"/>
    <w:rsid w:val="00160182"/>
    <w:rsid w:val="002423F0"/>
    <w:rsid w:val="00263DCC"/>
    <w:rsid w:val="00313B11"/>
    <w:rsid w:val="00406257"/>
    <w:rsid w:val="00467DDC"/>
    <w:rsid w:val="004910B8"/>
    <w:rsid w:val="005D4931"/>
    <w:rsid w:val="00676C42"/>
    <w:rsid w:val="0067704F"/>
    <w:rsid w:val="006A7379"/>
    <w:rsid w:val="006F37D3"/>
    <w:rsid w:val="007A64D2"/>
    <w:rsid w:val="007E26F8"/>
    <w:rsid w:val="00830BB2"/>
    <w:rsid w:val="00887257"/>
    <w:rsid w:val="009203B9"/>
    <w:rsid w:val="00920AE5"/>
    <w:rsid w:val="009E4F30"/>
    <w:rsid w:val="00AA6DC0"/>
    <w:rsid w:val="00AC2249"/>
    <w:rsid w:val="00B951E2"/>
    <w:rsid w:val="00BE0F07"/>
    <w:rsid w:val="00C67E26"/>
    <w:rsid w:val="00D80FFC"/>
    <w:rsid w:val="00DE3AA1"/>
    <w:rsid w:val="00E172B0"/>
    <w:rsid w:val="00E27777"/>
    <w:rsid w:val="00F2425A"/>
    <w:rsid w:val="00F30B9F"/>
    <w:rsid w:val="00FA1EA7"/>
    <w:rsid w:val="00FC496F"/>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BF3C"/>
  <w15:chartTrackingRefBased/>
  <w15:docId w15:val="{554089CE-6B29-46AA-B715-EFAF9760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704F"/>
    <w:pPr>
      <w:spacing w:after="0" w:line="240" w:lineRule="auto"/>
    </w:pPr>
  </w:style>
  <w:style w:type="character" w:styleId="Hyperlink">
    <w:name w:val="Hyperlink"/>
    <w:basedOn w:val="DefaultParagraphFont"/>
    <w:uiPriority w:val="99"/>
    <w:unhideWhenUsed/>
    <w:rsid w:val="000A14C8"/>
    <w:rPr>
      <w:color w:val="0563C1" w:themeColor="hyperlink"/>
      <w:u w:val="single"/>
    </w:rPr>
  </w:style>
  <w:style w:type="character" w:styleId="UnresolvedMention">
    <w:name w:val="Unresolved Mention"/>
    <w:basedOn w:val="DefaultParagraphFont"/>
    <w:uiPriority w:val="99"/>
    <w:semiHidden/>
    <w:unhideWhenUsed/>
    <w:rsid w:val="000A1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9.uscourts.gov/guides/section-1983-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22</cp:revision>
  <dcterms:created xsi:type="dcterms:W3CDTF">2024-02-05T00:11:00Z</dcterms:created>
  <dcterms:modified xsi:type="dcterms:W3CDTF">2025-11-10T06:22:00Z</dcterms:modified>
</cp:coreProperties>
</file>