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2330A" w14:textId="77777777" w:rsidR="00212415" w:rsidRPr="00842D3D" w:rsidRDefault="00212415" w:rsidP="00212415">
      <w:pPr>
        <w:autoSpaceDE w:val="0"/>
        <w:autoSpaceDN w:val="0"/>
        <w:adjustRightInd w:val="0"/>
        <w:jc w:val="center"/>
        <w:outlineLvl w:val="1"/>
        <w:rPr>
          <w:rFonts w:eastAsia="Calibri" w:cs="Times New Roman"/>
          <w:b/>
          <w:bCs/>
          <w:szCs w:val="24"/>
        </w:rPr>
      </w:pPr>
      <w:bookmarkStart w:id="0" w:name="_Toc103098155"/>
      <w:bookmarkStart w:id="1" w:name="_Toc214452511"/>
      <w:r w:rsidRPr="00842D3D">
        <w:rPr>
          <w:rFonts w:eastAsia="Calibri" w:cs="Times New Roman"/>
          <w:b/>
          <w:bCs/>
          <w:szCs w:val="24"/>
        </w:rPr>
        <w:t>Introductory Comment</w:t>
      </w:r>
      <w:bookmarkEnd w:id="0"/>
      <w:bookmarkEnd w:id="1"/>
    </w:p>
    <w:p w14:paraId="4BBCFA9F" w14:textId="77777777" w:rsidR="00212415" w:rsidRPr="00842D3D" w:rsidRDefault="00212415" w:rsidP="00212415">
      <w:pPr>
        <w:autoSpaceDE w:val="0"/>
        <w:autoSpaceDN w:val="0"/>
        <w:adjustRightInd w:val="0"/>
        <w:rPr>
          <w:rFonts w:eastAsia="Calibri" w:cs="Times New Roman"/>
          <w:szCs w:val="24"/>
        </w:rPr>
      </w:pPr>
    </w:p>
    <w:p w14:paraId="2BE7867F" w14:textId="77777777" w:rsidR="00212415" w:rsidRPr="00842D3D" w:rsidRDefault="00212415" w:rsidP="00212415">
      <w:pPr>
        <w:autoSpaceDE w:val="0"/>
        <w:autoSpaceDN w:val="0"/>
        <w:adjustRightInd w:val="0"/>
        <w:rPr>
          <w:rFonts w:eastAsia="Calibri" w:cs="Times New Roman"/>
          <w:szCs w:val="24"/>
        </w:rPr>
      </w:pPr>
    </w:p>
    <w:p w14:paraId="6C1F7CB8" w14:textId="77777777" w:rsidR="00212415" w:rsidRPr="00842D3D" w:rsidRDefault="00212415" w:rsidP="00212415">
      <w:pPr>
        <w:autoSpaceDE w:val="0"/>
        <w:autoSpaceDN w:val="0"/>
        <w:adjustRightInd w:val="0"/>
        <w:ind w:firstLine="720"/>
        <w:rPr>
          <w:rFonts w:eastAsia="Calibri" w:cs="Times New Roman"/>
          <w:szCs w:val="24"/>
        </w:rPr>
      </w:pPr>
      <w:r w:rsidRPr="00842D3D">
        <w:rPr>
          <w:rFonts w:eastAsia="Calibri" w:cs="Times New Roman"/>
          <w:szCs w:val="24"/>
        </w:rPr>
        <w:t>This chapter focuses on 42 U.S.C. § 1983, which provides:</w:t>
      </w:r>
    </w:p>
    <w:p w14:paraId="0F007CBB" w14:textId="77777777" w:rsidR="00212415" w:rsidRPr="00842D3D" w:rsidRDefault="00212415" w:rsidP="00212415">
      <w:pPr>
        <w:autoSpaceDE w:val="0"/>
        <w:autoSpaceDN w:val="0"/>
        <w:adjustRightInd w:val="0"/>
        <w:rPr>
          <w:rFonts w:eastAsia="Calibri" w:cs="Times New Roman"/>
          <w:szCs w:val="24"/>
        </w:rPr>
      </w:pPr>
    </w:p>
    <w:p w14:paraId="20BDDC57" w14:textId="77777777" w:rsidR="00212415" w:rsidRPr="00842D3D" w:rsidRDefault="00212415" w:rsidP="00212415">
      <w:pPr>
        <w:autoSpaceDE w:val="0"/>
        <w:autoSpaceDN w:val="0"/>
        <w:adjustRightInd w:val="0"/>
        <w:ind w:left="720" w:right="720"/>
        <w:jc w:val="both"/>
        <w:rPr>
          <w:rFonts w:eastAsia="Calibri" w:cs="Times New Roman"/>
          <w:szCs w:val="24"/>
        </w:rPr>
      </w:pPr>
      <w:r w:rsidRPr="00842D3D">
        <w:rPr>
          <w:rFonts w:eastAsia="Calibri" w:cs="Times New Roman"/>
          <w:szCs w:val="24"/>
        </w:rPr>
        <w:t xml:space="preserve">Every person who, under color of any statute, ordinance, regulation, custom, or usage, of any State or Territory or the District of Columbia, subjects, or causes to be subjected, any citizen of the United States or other person within the jurisdiction thereof to the deprivation of any rights, privileges, or immunities secured by the Constitution and laws, shall be liable to the party injured in an action at law, suit in equity, or other proper proceeding for redress, except that in any action brought against a judicial officer for an act or omission taken in such officer's judicial capacity, injunctive relief shall not be granted unless a declaratory decree was violated or declaratory relief was unavailable. For the purposes of this section, any Act of Congress applicable exclusively to the District of Columbia shall </w:t>
      </w:r>
      <w:proofErr w:type="gramStart"/>
      <w:r w:rsidRPr="00842D3D">
        <w:rPr>
          <w:rFonts w:eastAsia="Calibri" w:cs="Times New Roman"/>
          <w:szCs w:val="24"/>
        </w:rPr>
        <w:t>be considered to be</w:t>
      </w:r>
      <w:proofErr w:type="gramEnd"/>
      <w:r w:rsidRPr="00842D3D">
        <w:rPr>
          <w:rFonts w:eastAsia="Calibri" w:cs="Times New Roman"/>
          <w:szCs w:val="24"/>
        </w:rPr>
        <w:t xml:space="preserve"> a statute of the District of Columbia. </w:t>
      </w:r>
    </w:p>
    <w:p w14:paraId="2EBAB73E" w14:textId="77777777" w:rsidR="00212415" w:rsidRPr="00842D3D" w:rsidRDefault="00212415" w:rsidP="00212415">
      <w:pPr>
        <w:autoSpaceDE w:val="0"/>
        <w:autoSpaceDN w:val="0"/>
        <w:adjustRightInd w:val="0"/>
        <w:rPr>
          <w:rFonts w:eastAsia="Calibri" w:cs="Times New Roman"/>
          <w:szCs w:val="24"/>
        </w:rPr>
      </w:pPr>
    </w:p>
    <w:p w14:paraId="4C14A3DC" w14:textId="77777777" w:rsidR="00212415" w:rsidRPr="00842D3D" w:rsidRDefault="00212415" w:rsidP="00212415">
      <w:pPr>
        <w:autoSpaceDE w:val="0"/>
        <w:autoSpaceDN w:val="0"/>
        <w:adjustRightInd w:val="0"/>
        <w:rPr>
          <w:rFonts w:eastAsia="Calibri" w:cs="Times New Roman"/>
          <w:szCs w:val="24"/>
        </w:rPr>
      </w:pPr>
      <w:r w:rsidRPr="00842D3D">
        <w:rPr>
          <w:rFonts w:eastAsia="Calibri" w:cs="Times New Roman"/>
          <w:szCs w:val="24"/>
        </w:rPr>
        <w:tab/>
        <w:t>This chapter is organized to provide separate “elements” instructions for 42 U.S.C. § 1983 claims against individuals (Instructions 9.3-9.4) and against local governing bodies (Instructions 9.5-9.8) because there are different legal standards establishing liability against these two types of defendants. Instructions 9.9-9.3</w:t>
      </w:r>
      <w:r>
        <w:rPr>
          <w:rFonts w:eastAsia="Calibri" w:cs="Times New Roman"/>
          <w:szCs w:val="24"/>
        </w:rPr>
        <w:t>8</w:t>
      </w:r>
      <w:r w:rsidRPr="00842D3D">
        <w:rPr>
          <w:rFonts w:eastAsia="Calibri" w:cs="Times New Roman"/>
          <w:szCs w:val="24"/>
        </w:rPr>
        <w:t xml:space="preserve"> provide instructions to establish the deprivation of </w:t>
      </w:r>
      <w:proofErr w:type="gramStart"/>
      <w:r w:rsidRPr="00842D3D">
        <w:rPr>
          <w:rFonts w:eastAsia="Calibri" w:cs="Times New Roman"/>
          <w:szCs w:val="24"/>
        </w:rPr>
        <w:t>particular constitutional</w:t>
      </w:r>
      <w:proofErr w:type="gramEnd"/>
      <w:r w:rsidRPr="00842D3D">
        <w:rPr>
          <w:rFonts w:eastAsia="Calibri" w:cs="Times New Roman"/>
          <w:szCs w:val="24"/>
        </w:rPr>
        <w:t xml:space="preserve"> rights. An elements instruction should be used only in conjunction with a “particular rights” instruction appropriate to the facts of the case at hand. </w:t>
      </w:r>
    </w:p>
    <w:p w14:paraId="4EDEFCB2" w14:textId="77777777" w:rsidR="00212415" w:rsidRPr="00842D3D" w:rsidRDefault="00212415" w:rsidP="00212415">
      <w:pPr>
        <w:autoSpaceDE w:val="0"/>
        <w:autoSpaceDN w:val="0"/>
        <w:adjustRightInd w:val="0"/>
        <w:rPr>
          <w:rFonts w:eastAsia="Calibri" w:cs="Times New Roman"/>
          <w:szCs w:val="24"/>
        </w:rPr>
      </w:pPr>
    </w:p>
    <w:tbl>
      <w:tblPr>
        <w:tblW w:w="0" w:type="auto"/>
        <w:tblInd w:w="-8" w:type="dxa"/>
        <w:tblLayout w:type="fixed"/>
        <w:tblCellMar>
          <w:left w:w="100" w:type="dxa"/>
          <w:right w:w="100" w:type="dxa"/>
        </w:tblCellMar>
        <w:tblLook w:val="0000" w:firstRow="0" w:lastRow="0" w:firstColumn="0" w:lastColumn="0" w:noHBand="0" w:noVBand="0"/>
      </w:tblPr>
      <w:tblGrid>
        <w:gridCol w:w="2700"/>
        <w:gridCol w:w="4860"/>
        <w:gridCol w:w="1800"/>
      </w:tblGrid>
      <w:tr w:rsidR="00212415" w:rsidRPr="00842D3D" w14:paraId="6A9ECC95" w14:textId="77777777" w:rsidTr="004B457B">
        <w:trPr>
          <w:cantSplit/>
        </w:trPr>
        <w:tc>
          <w:tcPr>
            <w:tcW w:w="9360" w:type="dxa"/>
            <w:gridSpan w:val="3"/>
            <w:tcBorders>
              <w:top w:val="single" w:sz="6" w:space="0" w:color="000000"/>
              <w:left w:val="single" w:sz="6" w:space="0" w:color="000000"/>
              <w:bottom w:val="nil"/>
              <w:right w:val="single" w:sz="6" w:space="0" w:color="000000"/>
            </w:tcBorders>
          </w:tcPr>
          <w:p w14:paraId="5B912755" w14:textId="77777777" w:rsidR="00212415" w:rsidRPr="00842D3D" w:rsidRDefault="00212415" w:rsidP="004B457B">
            <w:pPr>
              <w:autoSpaceDE w:val="0"/>
              <w:autoSpaceDN w:val="0"/>
              <w:adjustRightInd w:val="0"/>
              <w:jc w:val="center"/>
              <w:rPr>
                <w:rFonts w:eastAsia="Calibri" w:cs="Times New Roman"/>
                <w:szCs w:val="24"/>
              </w:rPr>
            </w:pPr>
            <w:r w:rsidRPr="00842D3D">
              <w:rPr>
                <w:rFonts w:eastAsia="Calibri" w:cs="Times New Roman"/>
                <w:b/>
                <w:bCs/>
                <w:szCs w:val="24"/>
              </w:rPr>
              <w:t xml:space="preserve">Elements Instructions </w:t>
            </w:r>
          </w:p>
        </w:tc>
      </w:tr>
      <w:tr w:rsidR="00212415" w:rsidRPr="00842D3D" w14:paraId="1FFB7A6C" w14:textId="77777777" w:rsidTr="004B457B">
        <w:trPr>
          <w:cantSplit/>
        </w:trPr>
        <w:tc>
          <w:tcPr>
            <w:tcW w:w="2700" w:type="dxa"/>
            <w:tcBorders>
              <w:top w:val="single" w:sz="6" w:space="0" w:color="000000"/>
              <w:left w:val="single" w:sz="6" w:space="0" w:color="000000"/>
              <w:bottom w:val="nil"/>
              <w:right w:val="nil"/>
            </w:tcBorders>
          </w:tcPr>
          <w:p w14:paraId="691B4EC3" w14:textId="77777777" w:rsidR="00212415" w:rsidRPr="00842D3D" w:rsidRDefault="00212415" w:rsidP="004B457B">
            <w:pPr>
              <w:autoSpaceDE w:val="0"/>
              <w:autoSpaceDN w:val="0"/>
              <w:adjustRightInd w:val="0"/>
              <w:jc w:val="center"/>
              <w:rPr>
                <w:rFonts w:eastAsia="Calibri" w:cs="Times New Roman"/>
                <w:szCs w:val="24"/>
              </w:rPr>
            </w:pPr>
            <w:r w:rsidRPr="00842D3D">
              <w:rPr>
                <w:rFonts w:eastAsia="Calibri" w:cs="Times New Roman"/>
                <w:szCs w:val="24"/>
              </w:rPr>
              <w:t>Type of Claim</w:t>
            </w:r>
          </w:p>
        </w:tc>
        <w:tc>
          <w:tcPr>
            <w:tcW w:w="4860" w:type="dxa"/>
            <w:tcBorders>
              <w:top w:val="single" w:sz="6" w:space="0" w:color="000000"/>
              <w:left w:val="single" w:sz="6" w:space="0" w:color="000000"/>
              <w:bottom w:val="nil"/>
              <w:right w:val="nil"/>
            </w:tcBorders>
          </w:tcPr>
          <w:p w14:paraId="57A9787D" w14:textId="77777777" w:rsidR="00212415" w:rsidRPr="00842D3D" w:rsidRDefault="00212415" w:rsidP="004B457B">
            <w:pPr>
              <w:autoSpaceDE w:val="0"/>
              <w:autoSpaceDN w:val="0"/>
              <w:adjustRightInd w:val="0"/>
              <w:jc w:val="center"/>
              <w:rPr>
                <w:rFonts w:eastAsia="Calibri" w:cs="Times New Roman"/>
                <w:szCs w:val="24"/>
              </w:rPr>
            </w:pPr>
            <w:r w:rsidRPr="00842D3D">
              <w:rPr>
                <w:rFonts w:eastAsia="Calibri" w:cs="Times New Roman"/>
                <w:szCs w:val="24"/>
              </w:rPr>
              <w:t xml:space="preserve">Elements </w:t>
            </w:r>
          </w:p>
        </w:tc>
        <w:tc>
          <w:tcPr>
            <w:tcW w:w="1800" w:type="dxa"/>
            <w:tcBorders>
              <w:top w:val="single" w:sz="6" w:space="0" w:color="000000"/>
              <w:left w:val="single" w:sz="6" w:space="0" w:color="000000"/>
              <w:bottom w:val="nil"/>
              <w:right w:val="single" w:sz="6" w:space="0" w:color="000000"/>
            </w:tcBorders>
          </w:tcPr>
          <w:p w14:paraId="1B803199" w14:textId="77777777" w:rsidR="00212415" w:rsidRPr="00842D3D" w:rsidRDefault="00212415" w:rsidP="004B457B">
            <w:pPr>
              <w:autoSpaceDE w:val="0"/>
              <w:autoSpaceDN w:val="0"/>
              <w:adjustRightInd w:val="0"/>
              <w:jc w:val="center"/>
              <w:rPr>
                <w:rFonts w:eastAsia="Calibri" w:cs="Times New Roman"/>
                <w:szCs w:val="24"/>
              </w:rPr>
            </w:pPr>
            <w:r w:rsidRPr="00842D3D">
              <w:rPr>
                <w:rFonts w:eastAsia="Calibri" w:cs="Times New Roman"/>
                <w:szCs w:val="24"/>
              </w:rPr>
              <w:t>Instruction No.</w:t>
            </w:r>
          </w:p>
        </w:tc>
      </w:tr>
      <w:tr w:rsidR="00212415" w:rsidRPr="00842D3D" w14:paraId="5CEC01D4" w14:textId="77777777" w:rsidTr="004B457B">
        <w:trPr>
          <w:cantSplit/>
        </w:trPr>
        <w:tc>
          <w:tcPr>
            <w:tcW w:w="2700" w:type="dxa"/>
            <w:vMerge w:val="restart"/>
            <w:tcBorders>
              <w:top w:val="single" w:sz="6" w:space="0" w:color="000000"/>
              <w:left w:val="single" w:sz="6" w:space="0" w:color="000000"/>
              <w:bottom w:val="nil"/>
              <w:right w:val="nil"/>
            </w:tcBorders>
            <w:vAlign w:val="center"/>
          </w:tcPr>
          <w:p w14:paraId="0D9451C9"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Against Individuals</w:t>
            </w:r>
          </w:p>
        </w:tc>
        <w:tc>
          <w:tcPr>
            <w:tcW w:w="4860" w:type="dxa"/>
            <w:tcBorders>
              <w:top w:val="single" w:sz="6" w:space="0" w:color="000000"/>
              <w:left w:val="single" w:sz="6" w:space="0" w:color="000000"/>
              <w:bottom w:val="nil"/>
              <w:right w:val="nil"/>
            </w:tcBorders>
          </w:tcPr>
          <w:p w14:paraId="0E12499D"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Individual Capacity</w:t>
            </w:r>
          </w:p>
        </w:tc>
        <w:tc>
          <w:tcPr>
            <w:tcW w:w="1800" w:type="dxa"/>
            <w:tcBorders>
              <w:top w:val="single" w:sz="6" w:space="0" w:color="000000"/>
              <w:left w:val="single" w:sz="6" w:space="0" w:color="000000"/>
              <w:bottom w:val="nil"/>
              <w:right w:val="single" w:sz="6" w:space="0" w:color="000000"/>
            </w:tcBorders>
          </w:tcPr>
          <w:p w14:paraId="6E9ECB59"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9.3</w:t>
            </w:r>
          </w:p>
        </w:tc>
      </w:tr>
      <w:tr w:rsidR="00212415" w:rsidRPr="00842D3D" w14:paraId="781EC07F" w14:textId="77777777" w:rsidTr="004B457B">
        <w:trPr>
          <w:cantSplit/>
        </w:trPr>
        <w:tc>
          <w:tcPr>
            <w:tcW w:w="2700" w:type="dxa"/>
            <w:vMerge/>
            <w:tcBorders>
              <w:top w:val="single" w:sz="6" w:space="0" w:color="000000"/>
              <w:left w:val="single" w:sz="6" w:space="0" w:color="000000"/>
              <w:bottom w:val="nil"/>
              <w:right w:val="nil"/>
            </w:tcBorders>
          </w:tcPr>
          <w:p w14:paraId="650EFC74" w14:textId="77777777" w:rsidR="00212415" w:rsidRPr="00842D3D" w:rsidRDefault="00212415" w:rsidP="004B457B">
            <w:pPr>
              <w:autoSpaceDE w:val="0"/>
              <w:autoSpaceDN w:val="0"/>
              <w:adjustRightInd w:val="0"/>
              <w:rPr>
                <w:rFonts w:eastAsia="Calibri" w:cs="Times New Roman"/>
                <w:szCs w:val="24"/>
              </w:rPr>
            </w:pPr>
          </w:p>
        </w:tc>
        <w:tc>
          <w:tcPr>
            <w:tcW w:w="4860" w:type="dxa"/>
            <w:tcBorders>
              <w:top w:val="single" w:sz="6" w:space="0" w:color="000000"/>
              <w:left w:val="single" w:sz="6" w:space="0" w:color="000000"/>
              <w:bottom w:val="nil"/>
              <w:right w:val="nil"/>
            </w:tcBorders>
          </w:tcPr>
          <w:p w14:paraId="0AF7D133"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Supervisory Defendant in Individual Capacity</w:t>
            </w:r>
          </w:p>
        </w:tc>
        <w:tc>
          <w:tcPr>
            <w:tcW w:w="1800" w:type="dxa"/>
            <w:tcBorders>
              <w:top w:val="single" w:sz="6" w:space="0" w:color="000000"/>
              <w:left w:val="single" w:sz="6" w:space="0" w:color="000000"/>
              <w:bottom w:val="nil"/>
              <w:right w:val="single" w:sz="6" w:space="0" w:color="000000"/>
            </w:tcBorders>
          </w:tcPr>
          <w:p w14:paraId="602149F2"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9.4</w:t>
            </w:r>
          </w:p>
        </w:tc>
      </w:tr>
      <w:tr w:rsidR="00212415" w:rsidRPr="00842D3D" w14:paraId="0B273CCD" w14:textId="77777777" w:rsidTr="004B457B">
        <w:trPr>
          <w:cantSplit/>
        </w:trPr>
        <w:tc>
          <w:tcPr>
            <w:tcW w:w="2700" w:type="dxa"/>
            <w:vMerge w:val="restart"/>
            <w:tcBorders>
              <w:top w:val="single" w:sz="6" w:space="0" w:color="000000"/>
              <w:left w:val="single" w:sz="6" w:space="0" w:color="000000"/>
              <w:bottom w:val="single" w:sz="6" w:space="0" w:color="000000"/>
              <w:right w:val="nil"/>
            </w:tcBorders>
            <w:vAlign w:val="center"/>
          </w:tcPr>
          <w:p w14:paraId="4ECBC471"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 xml:space="preserve">Against Local Governing Body </w:t>
            </w:r>
          </w:p>
        </w:tc>
        <w:tc>
          <w:tcPr>
            <w:tcW w:w="4860" w:type="dxa"/>
            <w:tcBorders>
              <w:top w:val="single" w:sz="6" w:space="0" w:color="000000"/>
              <w:left w:val="single" w:sz="6" w:space="0" w:color="000000"/>
              <w:bottom w:val="nil"/>
              <w:right w:val="nil"/>
            </w:tcBorders>
          </w:tcPr>
          <w:p w14:paraId="7A3C0A13"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Based on Official Policy, Practice, or Custom</w:t>
            </w:r>
          </w:p>
        </w:tc>
        <w:tc>
          <w:tcPr>
            <w:tcW w:w="1800" w:type="dxa"/>
            <w:tcBorders>
              <w:top w:val="single" w:sz="6" w:space="0" w:color="000000"/>
              <w:left w:val="single" w:sz="6" w:space="0" w:color="000000"/>
              <w:bottom w:val="nil"/>
              <w:right w:val="single" w:sz="6" w:space="0" w:color="000000"/>
            </w:tcBorders>
          </w:tcPr>
          <w:p w14:paraId="6C5B71BC"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9.5</w:t>
            </w:r>
          </w:p>
        </w:tc>
      </w:tr>
      <w:tr w:rsidR="00212415" w:rsidRPr="00842D3D" w14:paraId="1A73D461" w14:textId="77777777" w:rsidTr="004B457B">
        <w:trPr>
          <w:cantSplit/>
        </w:trPr>
        <w:tc>
          <w:tcPr>
            <w:tcW w:w="2700" w:type="dxa"/>
            <w:vMerge/>
            <w:tcBorders>
              <w:top w:val="single" w:sz="6" w:space="0" w:color="000000"/>
              <w:left w:val="single" w:sz="6" w:space="0" w:color="000000"/>
              <w:bottom w:val="nil"/>
              <w:right w:val="nil"/>
            </w:tcBorders>
          </w:tcPr>
          <w:p w14:paraId="7B542F8E" w14:textId="77777777" w:rsidR="00212415" w:rsidRPr="00842D3D" w:rsidRDefault="00212415" w:rsidP="004B457B">
            <w:pPr>
              <w:autoSpaceDE w:val="0"/>
              <w:autoSpaceDN w:val="0"/>
              <w:adjustRightInd w:val="0"/>
              <w:rPr>
                <w:rFonts w:eastAsia="Calibri" w:cs="Times New Roman"/>
                <w:szCs w:val="24"/>
              </w:rPr>
            </w:pPr>
          </w:p>
        </w:tc>
        <w:tc>
          <w:tcPr>
            <w:tcW w:w="4860" w:type="dxa"/>
            <w:tcBorders>
              <w:top w:val="single" w:sz="6" w:space="0" w:color="000000"/>
              <w:left w:val="single" w:sz="6" w:space="0" w:color="000000"/>
              <w:bottom w:val="nil"/>
              <w:right w:val="nil"/>
            </w:tcBorders>
          </w:tcPr>
          <w:p w14:paraId="67B1456E"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Based on Act of Final Policymaker</w:t>
            </w:r>
          </w:p>
        </w:tc>
        <w:tc>
          <w:tcPr>
            <w:tcW w:w="1800" w:type="dxa"/>
            <w:tcBorders>
              <w:top w:val="single" w:sz="6" w:space="0" w:color="000000"/>
              <w:left w:val="single" w:sz="6" w:space="0" w:color="000000"/>
              <w:bottom w:val="nil"/>
              <w:right w:val="single" w:sz="6" w:space="0" w:color="000000"/>
            </w:tcBorders>
          </w:tcPr>
          <w:p w14:paraId="16C18E11"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9.6</w:t>
            </w:r>
          </w:p>
        </w:tc>
      </w:tr>
      <w:tr w:rsidR="00212415" w:rsidRPr="00842D3D" w14:paraId="138D9FD8" w14:textId="77777777" w:rsidTr="004B457B">
        <w:trPr>
          <w:cantSplit/>
        </w:trPr>
        <w:tc>
          <w:tcPr>
            <w:tcW w:w="2700" w:type="dxa"/>
            <w:vMerge/>
            <w:tcBorders>
              <w:top w:val="single" w:sz="6" w:space="0" w:color="000000"/>
              <w:left w:val="single" w:sz="6" w:space="0" w:color="000000"/>
              <w:bottom w:val="nil"/>
              <w:right w:val="nil"/>
            </w:tcBorders>
          </w:tcPr>
          <w:p w14:paraId="68A75B89" w14:textId="77777777" w:rsidR="00212415" w:rsidRPr="00842D3D" w:rsidRDefault="00212415" w:rsidP="004B457B">
            <w:pPr>
              <w:autoSpaceDE w:val="0"/>
              <w:autoSpaceDN w:val="0"/>
              <w:adjustRightInd w:val="0"/>
              <w:rPr>
                <w:rFonts w:eastAsia="Calibri" w:cs="Times New Roman"/>
                <w:szCs w:val="24"/>
              </w:rPr>
            </w:pPr>
          </w:p>
        </w:tc>
        <w:tc>
          <w:tcPr>
            <w:tcW w:w="4860" w:type="dxa"/>
            <w:tcBorders>
              <w:top w:val="single" w:sz="6" w:space="0" w:color="000000"/>
              <w:left w:val="single" w:sz="6" w:space="0" w:color="000000"/>
              <w:bottom w:val="nil"/>
              <w:right w:val="nil"/>
            </w:tcBorders>
          </w:tcPr>
          <w:p w14:paraId="776F8FDA"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Based on Ratification</w:t>
            </w:r>
          </w:p>
        </w:tc>
        <w:tc>
          <w:tcPr>
            <w:tcW w:w="1800" w:type="dxa"/>
            <w:tcBorders>
              <w:top w:val="single" w:sz="6" w:space="0" w:color="000000"/>
              <w:left w:val="single" w:sz="6" w:space="0" w:color="000000"/>
              <w:bottom w:val="nil"/>
              <w:right w:val="single" w:sz="6" w:space="0" w:color="000000"/>
            </w:tcBorders>
          </w:tcPr>
          <w:p w14:paraId="0DEE8C6B"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9.7</w:t>
            </w:r>
          </w:p>
        </w:tc>
      </w:tr>
      <w:tr w:rsidR="00212415" w:rsidRPr="00842D3D" w14:paraId="35AD9F42" w14:textId="77777777" w:rsidTr="004B457B">
        <w:trPr>
          <w:cantSplit/>
        </w:trPr>
        <w:tc>
          <w:tcPr>
            <w:tcW w:w="2700" w:type="dxa"/>
            <w:vMerge/>
            <w:tcBorders>
              <w:top w:val="single" w:sz="6" w:space="0" w:color="000000"/>
              <w:left w:val="single" w:sz="6" w:space="0" w:color="000000"/>
              <w:bottom w:val="single" w:sz="6" w:space="0" w:color="000000"/>
              <w:right w:val="nil"/>
            </w:tcBorders>
          </w:tcPr>
          <w:p w14:paraId="3B39D312" w14:textId="77777777" w:rsidR="00212415" w:rsidRPr="00842D3D" w:rsidRDefault="00212415" w:rsidP="004B457B">
            <w:pPr>
              <w:autoSpaceDE w:val="0"/>
              <w:autoSpaceDN w:val="0"/>
              <w:adjustRightInd w:val="0"/>
              <w:rPr>
                <w:rFonts w:eastAsia="Calibri" w:cs="Times New Roman"/>
                <w:szCs w:val="24"/>
              </w:rPr>
            </w:pPr>
          </w:p>
        </w:tc>
        <w:tc>
          <w:tcPr>
            <w:tcW w:w="4860" w:type="dxa"/>
            <w:tcBorders>
              <w:top w:val="single" w:sz="6" w:space="0" w:color="000000"/>
              <w:left w:val="single" w:sz="6" w:space="0" w:color="000000"/>
              <w:bottom w:val="single" w:sz="6" w:space="0" w:color="000000"/>
              <w:right w:val="nil"/>
            </w:tcBorders>
          </w:tcPr>
          <w:p w14:paraId="34633CD2"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Based on Policy that Fails to Prevent Violations of Law or Policy of Failure to Train</w:t>
            </w:r>
          </w:p>
        </w:tc>
        <w:tc>
          <w:tcPr>
            <w:tcW w:w="1800" w:type="dxa"/>
            <w:tcBorders>
              <w:top w:val="single" w:sz="6" w:space="0" w:color="000000"/>
              <w:left w:val="single" w:sz="6" w:space="0" w:color="000000"/>
              <w:bottom w:val="single" w:sz="6" w:space="0" w:color="000000"/>
              <w:right w:val="single" w:sz="6" w:space="0" w:color="000000"/>
            </w:tcBorders>
          </w:tcPr>
          <w:p w14:paraId="5E21119D"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9.8</w:t>
            </w:r>
          </w:p>
        </w:tc>
      </w:tr>
    </w:tbl>
    <w:p w14:paraId="60C37E0B" w14:textId="77777777" w:rsidR="00212415" w:rsidRPr="00842D3D" w:rsidRDefault="00212415" w:rsidP="00212415">
      <w:pPr>
        <w:autoSpaceDE w:val="0"/>
        <w:autoSpaceDN w:val="0"/>
        <w:adjustRightInd w:val="0"/>
        <w:rPr>
          <w:rFonts w:eastAsia="Calibri" w:cs="Times New Roman"/>
          <w:szCs w:val="24"/>
        </w:rPr>
      </w:pPr>
    </w:p>
    <w:p w14:paraId="46C74862" w14:textId="77777777" w:rsidR="00212415" w:rsidRPr="00842D3D" w:rsidRDefault="00212415" w:rsidP="00212415">
      <w:pPr>
        <w:autoSpaceDE w:val="0"/>
        <w:autoSpaceDN w:val="0"/>
        <w:adjustRightInd w:val="0"/>
        <w:rPr>
          <w:rFonts w:eastAsia="Calibri" w:cs="Times New Roman"/>
          <w:szCs w:val="24"/>
        </w:rPr>
      </w:pPr>
      <w:r w:rsidRPr="00842D3D">
        <w:rPr>
          <w:rFonts w:eastAsia="Calibri" w:cs="Times New Roman"/>
          <w:szCs w:val="24"/>
        </w:rPr>
        <w:tab/>
        <w:t xml:space="preserve">The chart below identifies the instructions for violations of particular federal rights to be used in conjunction with an </w:t>
      </w:r>
      <w:proofErr w:type="gramStart"/>
      <w:r w:rsidRPr="00842D3D">
        <w:rPr>
          <w:rFonts w:eastAsia="Calibri" w:cs="Times New Roman"/>
          <w:szCs w:val="24"/>
        </w:rPr>
        <w:t>elements</w:t>
      </w:r>
      <w:proofErr w:type="gramEnd"/>
      <w:r w:rsidRPr="00842D3D">
        <w:rPr>
          <w:rFonts w:eastAsia="Calibri" w:cs="Times New Roman"/>
          <w:szCs w:val="24"/>
        </w:rPr>
        <w:t xml:space="preserve"> instruction. “[W]here a particular amendment ‘provides an explicit textual source of constitutional protection’ against a particular sort of government behavior, ‘that Amendment, not the more generalized notion of ‘substantive due process,’ must be the guide for analyzing these claims.’” </w:t>
      </w:r>
      <w:r w:rsidRPr="00842D3D">
        <w:rPr>
          <w:rFonts w:eastAsia="Calibri" w:cs="Times New Roman"/>
          <w:i/>
          <w:iCs/>
          <w:szCs w:val="24"/>
        </w:rPr>
        <w:t>County of Sacramento v. Lewis</w:t>
      </w:r>
      <w:r w:rsidRPr="00842D3D">
        <w:rPr>
          <w:rFonts w:eastAsia="Calibri" w:cs="Times New Roman"/>
          <w:szCs w:val="24"/>
        </w:rPr>
        <w:t>, 523 U.S. 833, 842 (1998) (quoting</w:t>
      </w:r>
      <w:r w:rsidRPr="00842D3D">
        <w:rPr>
          <w:rFonts w:eastAsia="Calibri" w:cs="Times New Roman"/>
          <w:i/>
          <w:iCs/>
          <w:szCs w:val="24"/>
        </w:rPr>
        <w:t xml:space="preserve"> Albright v. Oliver</w:t>
      </w:r>
      <w:r w:rsidRPr="00842D3D">
        <w:rPr>
          <w:rFonts w:eastAsia="Calibri" w:cs="Times New Roman"/>
          <w:szCs w:val="24"/>
        </w:rPr>
        <w:t xml:space="preserve">, 510 U.S. 266, 273 (1994) (plurality opinion); </w:t>
      </w:r>
      <w:r w:rsidRPr="00842D3D">
        <w:rPr>
          <w:rFonts w:eastAsia="Calibri" w:cs="Times New Roman"/>
          <w:i/>
          <w:iCs/>
          <w:szCs w:val="24"/>
        </w:rPr>
        <w:t>Kirkpatrick v. Cnty</w:t>
      </w:r>
      <w:r>
        <w:rPr>
          <w:rFonts w:eastAsia="Calibri" w:cs="Times New Roman"/>
          <w:i/>
          <w:iCs/>
          <w:szCs w:val="24"/>
        </w:rPr>
        <w:t>.</w:t>
      </w:r>
      <w:r w:rsidRPr="00842D3D">
        <w:rPr>
          <w:rFonts w:eastAsia="Calibri" w:cs="Times New Roman"/>
          <w:i/>
          <w:iCs/>
          <w:szCs w:val="24"/>
        </w:rPr>
        <w:t xml:space="preserve"> of Washoe</w:t>
      </w:r>
      <w:r w:rsidRPr="00842D3D">
        <w:rPr>
          <w:rFonts w:eastAsia="Calibri" w:cs="Times New Roman"/>
          <w:szCs w:val="24"/>
        </w:rPr>
        <w:t xml:space="preserve">, 843 F.3d 784, 788 n.2 (9th Cir. 2016). When necessary, these instructions include right-specific mental states because § 1983 “itself ‘contains no state-of-mind requirement independent of that necessary to state a violation’ of the underlying federal right.” </w:t>
      </w:r>
      <w:r w:rsidRPr="00842D3D">
        <w:rPr>
          <w:rFonts w:eastAsia="Calibri" w:cs="Times New Roman"/>
          <w:i/>
          <w:iCs/>
          <w:szCs w:val="24"/>
        </w:rPr>
        <w:t>Bd. of Cnty. Comm’rs of Bryan Cnty., Okl. v. Brown</w:t>
      </w:r>
      <w:r w:rsidRPr="00842D3D">
        <w:rPr>
          <w:rFonts w:eastAsia="Calibri" w:cs="Times New Roman"/>
          <w:szCs w:val="24"/>
        </w:rPr>
        <w:t xml:space="preserve">, 520 U.S. 397, 405 (1997) (quoting </w:t>
      </w:r>
      <w:r w:rsidRPr="00842D3D">
        <w:rPr>
          <w:rFonts w:eastAsia="Calibri" w:cs="Times New Roman"/>
          <w:i/>
          <w:iCs/>
          <w:szCs w:val="24"/>
        </w:rPr>
        <w:t>Daniels v. Williams</w:t>
      </w:r>
      <w:r w:rsidRPr="00842D3D">
        <w:rPr>
          <w:rFonts w:eastAsia="Calibri" w:cs="Times New Roman"/>
          <w:szCs w:val="24"/>
        </w:rPr>
        <w:t xml:space="preserve">, 474 U.S. 327, 328 (1986)). </w:t>
      </w:r>
    </w:p>
    <w:p w14:paraId="6630B004" w14:textId="77777777" w:rsidR="00212415" w:rsidRPr="00842D3D" w:rsidRDefault="00212415" w:rsidP="00212415">
      <w:pPr>
        <w:autoSpaceDE w:val="0"/>
        <w:autoSpaceDN w:val="0"/>
        <w:adjustRightInd w:val="0"/>
        <w:rPr>
          <w:rFonts w:eastAsia="Calibri" w:cs="Times New Roman"/>
          <w:szCs w:val="24"/>
        </w:rPr>
      </w:pPr>
    </w:p>
    <w:tbl>
      <w:tblPr>
        <w:tblW w:w="9360" w:type="dxa"/>
        <w:tblInd w:w="-8" w:type="dxa"/>
        <w:tblLayout w:type="fixed"/>
        <w:tblCellMar>
          <w:left w:w="100" w:type="dxa"/>
          <w:right w:w="100" w:type="dxa"/>
        </w:tblCellMar>
        <w:tblLook w:val="0000" w:firstRow="0" w:lastRow="0" w:firstColumn="0" w:lastColumn="0" w:noHBand="0" w:noVBand="0"/>
      </w:tblPr>
      <w:tblGrid>
        <w:gridCol w:w="2700"/>
        <w:gridCol w:w="1890"/>
        <w:gridCol w:w="2970"/>
        <w:gridCol w:w="1800"/>
      </w:tblGrid>
      <w:tr w:rsidR="00212415" w:rsidRPr="00842D3D" w14:paraId="6E256FAC" w14:textId="77777777" w:rsidTr="004B457B">
        <w:trPr>
          <w:cantSplit/>
        </w:trPr>
        <w:tc>
          <w:tcPr>
            <w:tcW w:w="9360" w:type="dxa"/>
            <w:gridSpan w:val="4"/>
            <w:tcBorders>
              <w:top w:val="single" w:sz="6" w:space="0" w:color="000000"/>
              <w:left w:val="single" w:sz="6" w:space="0" w:color="000000"/>
              <w:bottom w:val="nil"/>
              <w:right w:val="single" w:sz="6" w:space="0" w:color="000000"/>
            </w:tcBorders>
          </w:tcPr>
          <w:p w14:paraId="74DD702D" w14:textId="77777777" w:rsidR="00212415" w:rsidRPr="00842D3D" w:rsidRDefault="00212415" w:rsidP="004B457B">
            <w:pPr>
              <w:autoSpaceDE w:val="0"/>
              <w:autoSpaceDN w:val="0"/>
              <w:adjustRightInd w:val="0"/>
              <w:jc w:val="center"/>
              <w:rPr>
                <w:rFonts w:eastAsia="Calibri" w:cs="Times New Roman"/>
                <w:szCs w:val="24"/>
              </w:rPr>
            </w:pPr>
            <w:proofErr w:type="gramStart"/>
            <w:r w:rsidRPr="00842D3D">
              <w:rPr>
                <w:rFonts w:eastAsia="Calibri" w:cs="Times New Roman"/>
                <w:b/>
                <w:bCs/>
                <w:szCs w:val="24"/>
              </w:rPr>
              <w:lastRenderedPageBreak/>
              <w:t>Particular Rights Instructions</w:t>
            </w:r>
            <w:proofErr w:type="gramEnd"/>
          </w:p>
        </w:tc>
      </w:tr>
      <w:tr w:rsidR="00212415" w:rsidRPr="00842D3D" w14:paraId="44C9F3A4" w14:textId="77777777" w:rsidTr="004B457B">
        <w:trPr>
          <w:cantSplit/>
        </w:trPr>
        <w:tc>
          <w:tcPr>
            <w:tcW w:w="2700" w:type="dxa"/>
            <w:tcBorders>
              <w:top w:val="single" w:sz="6" w:space="0" w:color="000000"/>
              <w:left w:val="single" w:sz="6" w:space="0" w:color="000000"/>
              <w:bottom w:val="nil"/>
              <w:right w:val="nil"/>
            </w:tcBorders>
            <w:vAlign w:val="center"/>
          </w:tcPr>
          <w:p w14:paraId="2D3A071B"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Type of Claim by Source</w:t>
            </w:r>
          </w:p>
        </w:tc>
        <w:tc>
          <w:tcPr>
            <w:tcW w:w="4860" w:type="dxa"/>
            <w:gridSpan w:val="2"/>
            <w:tcBorders>
              <w:top w:val="single" w:sz="6" w:space="0" w:color="000000"/>
              <w:left w:val="single" w:sz="6" w:space="0" w:color="000000"/>
              <w:bottom w:val="nil"/>
              <w:right w:val="nil"/>
            </w:tcBorders>
          </w:tcPr>
          <w:p w14:paraId="262F66C2" w14:textId="77777777" w:rsidR="00212415" w:rsidRPr="00842D3D" w:rsidRDefault="00212415" w:rsidP="004B457B">
            <w:pPr>
              <w:autoSpaceDE w:val="0"/>
              <w:autoSpaceDN w:val="0"/>
              <w:adjustRightInd w:val="0"/>
              <w:jc w:val="center"/>
              <w:rPr>
                <w:rFonts w:eastAsia="Calibri" w:cs="Times New Roman"/>
                <w:szCs w:val="24"/>
              </w:rPr>
            </w:pPr>
            <w:r w:rsidRPr="00842D3D">
              <w:rPr>
                <w:rFonts w:eastAsia="Calibri" w:cs="Times New Roman"/>
                <w:szCs w:val="24"/>
              </w:rPr>
              <w:t>Protection</w:t>
            </w:r>
          </w:p>
        </w:tc>
        <w:tc>
          <w:tcPr>
            <w:tcW w:w="1800" w:type="dxa"/>
            <w:tcBorders>
              <w:top w:val="single" w:sz="6" w:space="0" w:color="000000"/>
              <w:left w:val="single" w:sz="6" w:space="0" w:color="000000"/>
              <w:bottom w:val="nil"/>
              <w:right w:val="single" w:sz="6" w:space="0" w:color="000000"/>
            </w:tcBorders>
          </w:tcPr>
          <w:p w14:paraId="0385F30D" w14:textId="77777777" w:rsidR="00212415" w:rsidRPr="00842D3D" w:rsidRDefault="00212415" w:rsidP="004B457B">
            <w:pPr>
              <w:autoSpaceDE w:val="0"/>
              <w:autoSpaceDN w:val="0"/>
              <w:adjustRightInd w:val="0"/>
              <w:jc w:val="center"/>
              <w:rPr>
                <w:rFonts w:eastAsia="Calibri" w:cs="Times New Roman"/>
                <w:szCs w:val="24"/>
              </w:rPr>
            </w:pPr>
            <w:r w:rsidRPr="00842D3D">
              <w:rPr>
                <w:rFonts w:eastAsia="Calibri" w:cs="Times New Roman"/>
                <w:szCs w:val="24"/>
              </w:rPr>
              <w:t>Instruction No.</w:t>
            </w:r>
          </w:p>
        </w:tc>
      </w:tr>
      <w:tr w:rsidR="00212415" w:rsidRPr="00842D3D" w14:paraId="54883AFD" w14:textId="77777777" w:rsidTr="004B457B">
        <w:trPr>
          <w:cantSplit/>
        </w:trPr>
        <w:tc>
          <w:tcPr>
            <w:tcW w:w="2700" w:type="dxa"/>
            <w:vMerge w:val="restart"/>
            <w:tcBorders>
              <w:top w:val="single" w:sz="6" w:space="0" w:color="000000"/>
              <w:left w:val="single" w:sz="6" w:space="0" w:color="000000"/>
              <w:right w:val="nil"/>
            </w:tcBorders>
            <w:vAlign w:val="center"/>
          </w:tcPr>
          <w:p w14:paraId="1294C415"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First Amendment</w:t>
            </w:r>
          </w:p>
        </w:tc>
        <w:tc>
          <w:tcPr>
            <w:tcW w:w="4860" w:type="dxa"/>
            <w:gridSpan w:val="2"/>
            <w:tcBorders>
              <w:top w:val="single" w:sz="6" w:space="0" w:color="000000"/>
              <w:left w:val="single" w:sz="6" w:space="0" w:color="000000"/>
              <w:bottom w:val="nil"/>
              <w:right w:val="nil"/>
            </w:tcBorders>
          </w:tcPr>
          <w:p w14:paraId="70330383"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Public Employee Speech</w:t>
            </w:r>
          </w:p>
        </w:tc>
        <w:tc>
          <w:tcPr>
            <w:tcW w:w="1800" w:type="dxa"/>
            <w:tcBorders>
              <w:top w:val="single" w:sz="6" w:space="0" w:color="000000"/>
              <w:left w:val="single" w:sz="6" w:space="0" w:color="000000"/>
              <w:bottom w:val="nil"/>
              <w:right w:val="single" w:sz="6" w:space="0" w:color="000000"/>
            </w:tcBorders>
          </w:tcPr>
          <w:p w14:paraId="701AA708"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9.9</w:t>
            </w:r>
          </w:p>
          <w:p w14:paraId="4986D438"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9.10</w:t>
            </w:r>
          </w:p>
        </w:tc>
      </w:tr>
      <w:tr w:rsidR="00212415" w:rsidRPr="00842D3D" w14:paraId="3F427CA5" w14:textId="77777777" w:rsidTr="004B457B">
        <w:trPr>
          <w:cantSplit/>
          <w:trHeight w:val="453"/>
        </w:trPr>
        <w:tc>
          <w:tcPr>
            <w:tcW w:w="2700" w:type="dxa"/>
            <w:vMerge/>
            <w:tcBorders>
              <w:left w:val="single" w:sz="6" w:space="0" w:color="000000"/>
              <w:right w:val="nil"/>
            </w:tcBorders>
          </w:tcPr>
          <w:p w14:paraId="094BE32A" w14:textId="77777777" w:rsidR="00212415" w:rsidRPr="00842D3D" w:rsidRDefault="00212415" w:rsidP="004B457B">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3F568146"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“Citizen” Plaintiff</w:t>
            </w:r>
          </w:p>
        </w:tc>
        <w:tc>
          <w:tcPr>
            <w:tcW w:w="1800" w:type="dxa"/>
            <w:tcBorders>
              <w:top w:val="single" w:sz="6" w:space="0" w:color="000000"/>
              <w:left w:val="single" w:sz="6" w:space="0" w:color="000000"/>
              <w:bottom w:val="nil"/>
              <w:right w:val="single" w:sz="6" w:space="0" w:color="000000"/>
            </w:tcBorders>
          </w:tcPr>
          <w:p w14:paraId="74AA2B0D"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9.11</w:t>
            </w:r>
          </w:p>
        </w:tc>
      </w:tr>
      <w:tr w:rsidR="00212415" w:rsidRPr="00842D3D" w14:paraId="2366EF56" w14:textId="77777777" w:rsidTr="004B457B">
        <w:trPr>
          <w:cantSplit/>
          <w:trHeight w:val="453"/>
        </w:trPr>
        <w:tc>
          <w:tcPr>
            <w:tcW w:w="2700" w:type="dxa"/>
            <w:vMerge/>
            <w:tcBorders>
              <w:left w:val="single" w:sz="6" w:space="0" w:color="000000"/>
              <w:bottom w:val="nil"/>
              <w:right w:val="nil"/>
            </w:tcBorders>
          </w:tcPr>
          <w:p w14:paraId="74B4A792" w14:textId="77777777" w:rsidR="00212415" w:rsidRPr="00842D3D" w:rsidRDefault="00212415" w:rsidP="004B457B">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518D7FE1" w14:textId="77777777" w:rsidR="00212415" w:rsidRPr="00842D3D" w:rsidRDefault="00212415" w:rsidP="004B457B">
            <w:pPr>
              <w:autoSpaceDE w:val="0"/>
              <w:autoSpaceDN w:val="0"/>
              <w:adjustRightInd w:val="0"/>
              <w:rPr>
                <w:rFonts w:eastAsia="Calibri" w:cs="Times New Roman"/>
                <w:szCs w:val="24"/>
              </w:rPr>
            </w:pPr>
            <w:r w:rsidRPr="00DE0471">
              <w:rPr>
                <w:rFonts w:cs="Times New Roman"/>
              </w:rPr>
              <w:t>Convicted Prisoner/Pretrial Detainee’s Claim of Retaliation</w:t>
            </w:r>
          </w:p>
        </w:tc>
        <w:tc>
          <w:tcPr>
            <w:tcW w:w="1800" w:type="dxa"/>
            <w:tcBorders>
              <w:top w:val="single" w:sz="6" w:space="0" w:color="000000"/>
              <w:left w:val="single" w:sz="6" w:space="0" w:color="000000"/>
              <w:bottom w:val="nil"/>
              <w:right w:val="single" w:sz="6" w:space="0" w:color="000000"/>
            </w:tcBorders>
          </w:tcPr>
          <w:p w14:paraId="3C6FADAF" w14:textId="77777777" w:rsidR="00212415" w:rsidRPr="00842D3D" w:rsidRDefault="00212415" w:rsidP="004B457B">
            <w:pPr>
              <w:autoSpaceDE w:val="0"/>
              <w:autoSpaceDN w:val="0"/>
              <w:adjustRightInd w:val="0"/>
              <w:rPr>
                <w:rFonts w:eastAsia="Calibri" w:cs="Times New Roman"/>
                <w:szCs w:val="24"/>
              </w:rPr>
            </w:pPr>
            <w:r>
              <w:rPr>
                <w:rFonts w:eastAsia="Calibri" w:cs="Times New Roman"/>
                <w:szCs w:val="24"/>
              </w:rPr>
              <w:t>9.12</w:t>
            </w:r>
          </w:p>
        </w:tc>
      </w:tr>
      <w:tr w:rsidR="00212415" w:rsidRPr="00842D3D" w14:paraId="5AE2DC7D" w14:textId="77777777" w:rsidTr="004B457B">
        <w:trPr>
          <w:cantSplit/>
        </w:trPr>
        <w:tc>
          <w:tcPr>
            <w:tcW w:w="2700" w:type="dxa"/>
            <w:vMerge w:val="restart"/>
            <w:tcBorders>
              <w:top w:val="single" w:sz="6" w:space="0" w:color="000000"/>
              <w:left w:val="single" w:sz="6" w:space="0" w:color="000000"/>
              <w:bottom w:val="nil"/>
              <w:right w:val="nil"/>
            </w:tcBorders>
            <w:vAlign w:val="center"/>
          </w:tcPr>
          <w:p w14:paraId="3EF88B23"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Fourth Amendment</w:t>
            </w:r>
          </w:p>
          <w:p w14:paraId="5FFE8FD6"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Unreasonable Search</w:t>
            </w:r>
          </w:p>
        </w:tc>
        <w:tc>
          <w:tcPr>
            <w:tcW w:w="4860" w:type="dxa"/>
            <w:gridSpan w:val="2"/>
            <w:tcBorders>
              <w:top w:val="single" w:sz="6" w:space="0" w:color="000000"/>
              <w:left w:val="single" w:sz="6" w:space="0" w:color="000000"/>
              <w:bottom w:val="nil"/>
              <w:right w:val="nil"/>
            </w:tcBorders>
          </w:tcPr>
          <w:p w14:paraId="43E0E194" w14:textId="77777777" w:rsidR="00212415" w:rsidRPr="00842D3D" w:rsidRDefault="00212415" w:rsidP="004B457B">
            <w:pPr>
              <w:autoSpaceDE w:val="0"/>
              <w:autoSpaceDN w:val="0"/>
              <w:adjustRightInd w:val="0"/>
              <w:rPr>
                <w:rFonts w:eastAsia="Calibri" w:cs="Times New Roman"/>
                <w:szCs w:val="24"/>
              </w:rPr>
            </w:pPr>
            <w:proofErr w:type="gramStart"/>
            <w:r w:rsidRPr="00842D3D">
              <w:rPr>
                <w:rFonts w:eastAsia="Calibri" w:cs="Times New Roman"/>
                <w:szCs w:val="24"/>
              </w:rPr>
              <w:t>Generally</w:t>
            </w:r>
            <w:proofErr w:type="gramEnd"/>
          </w:p>
        </w:tc>
        <w:tc>
          <w:tcPr>
            <w:tcW w:w="1800" w:type="dxa"/>
            <w:tcBorders>
              <w:top w:val="single" w:sz="6" w:space="0" w:color="000000"/>
              <w:left w:val="single" w:sz="6" w:space="0" w:color="000000"/>
              <w:bottom w:val="nil"/>
              <w:right w:val="single" w:sz="6" w:space="0" w:color="000000"/>
            </w:tcBorders>
          </w:tcPr>
          <w:p w14:paraId="253AC6A1"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9.1</w:t>
            </w:r>
            <w:r>
              <w:rPr>
                <w:rFonts w:eastAsia="Calibri" w:cs="Times New Roman"/>
                <w:szCs w:val="24"/>
              </w:rPr>
              <w:t>3</w:t>
            </w:r>
          </w:p>
        </w:tc>
      </w:tr>
      <w:tr w:rsidR="00212415" w:rsidRPr="00842D3D" w14:paraId="15CF7294" w14:textId="77777777" w:rsidTr="004B457B">
        <w:trPr>
          <w:cantSplit/>
          <w:trHeight w:val="727"/>
        </w:trPr>
        <w:tc>
          <w:tcPr>
            <w:tcW w:w="2700" w:type="dxa"/>
            <w:vMerge/>
            <w:tcBorders>
              <w:top w:val="single" w:sz="6" w:space="0" w:color="000000"/>
              <w:left w:val="single" w:sz="6" w:space="0" w:color="000000"/>
              <w:bottom w:val="nil"/>
              <w:right w:val="nil"/>
            </w:tcBorders>
          </w:tcPr>
          <w:p w14:paraId="4C31849F" w14:textId="77777777" w:rsidR="00212415" w:rsidRPr="00842D3D" w:rsidRDefault="00212415" w:rsidP="004B457B">
            <w:pPr>
              <w:autoSpaceDE w:val="0"/>
              <w:autoSpaceDN w:val="0"/>
              <w:adjustRightInd w:val="0"/>
              <w:rPr>
                <w:rFonts w:eastAsia="Calibri" w:cs="Times New Roman"/>
                <w:szCs w:val="24"/>
              </w:rPr>
            </w:pPr>
          </w:p>
        </w:tc>
        <w:tc>
          <w:tcPr>
            <w:tcW w:w="1890" w:type="dxa"/>
            <w:vMerge w:val="restart"/>
            <w:tcBorders>
              <w:top w:val="single" w:sz="6" w:space="0" w:color="000000"/>
              <w:left w:val="single" w:sz="6" w:space="0" w:color="000000"/>
              <w:bottom w:val="nil"/>
              <w:right w:val="nil"/>
            </w:tcBorders>
          </w:tcPr>
          <w:p w14:paraId="22B9A01B" w14:textId="77777777" w:rsidR="00212415" w:rsidRPr="00842D3D" w:rsidRDefault="00212415" w:rsidP="004B457B">
            <w:pPr>
              <w:autoSpaceDE w:val="0"/>
              <w:autoSpaceDN w:val="0"/>
              <w:adjustRightInd w:val="0"/>
              <w:rPr>
                <w:rFonts w:eastAsia="Calibri" w:cs="Times New Roman"/>
                <w:szCs w:val="24"/>
              </w:rPr>
            </w:pPr>
          </w:p>
          <w:p w14:paraId="463FE534" w14:textId="77777777" w:rsidR="00212415" w:rsidRPr="00842D3D" w:rsidRDefault="00212415" w:rsidP="004B457B">
            <w:pPr>
              <w:autoSpaceDE w:val="0"/>
              <w:autoSpaceDN w:val="0"/>
              <w:adjustRightInd w:val="0"/>
              <w:rPr>
                <w:rFonts w:eastAsia="Calibri" w:cs="Times New Roman"/>
                <w:szCs w:val="24"/>
              </w:rPr>
            </w:pPr>
          </w:p>
          <w:p w14:paraId="1C48DAFA"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Exception to Warrant Requirement</w:t>
            </w:r>
          </w:p>
          <w:p w14:paraId="32056F8E" w14:textId="77777777" w:rsidR="00212415" w:rsidRPr="00842D3D" w:rsidRDefault="00212415" w:rsidP="004B457B">
            <w:pPr>
              <w:autoSpaceDE w:val="0"/>
              <w:autoSpaceDN w:val="0"/>
              <w:adjustRightInd w:val="0"/>
              <w:rPr>
                <w:rFonts w:eastAsia="Calibri" w:cs="Times New Roman"/>
                <w:szCs w:val="24"/>
              </w:rPr>
            </w:pPr>
          </w:p>
        </w:tc>
        <w:tc>
          <w:tcPr>
            <w:tcW w:w="2970" w:type="dxa"/>
            <w:tcBorders>
              <w:top w:val="single" w:sz="6" w:space="0" w:color="000000"/>
              <w:left w:val="single" w:sz="6" w:space="0" w:color="000000"/>
              <w:bottom w:val="nil"/>
              <w:right w:val="nil"/>
            </w:tcBorders>
          </w:tcPr>
          <w:p w14:paraId="1595600C"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Search Incident to Arrest</w:t>
            </w:r>
          </w:p>
        </w:tc>
        <w:tc>
          <w:tcPr>
            <w:tcW w:w="1800" w:type="dxa"/>
            <w:tcBorders>
              <w:top w:val="single" w:sz="6" w:space="0" w:color="000000"/>
              <w:left w:val="single" w:sz="6" w:space="0" w:color="000000"/>
              <w:bottom w:val="nil"/>
              <w:right w:val="single" w:sz="6" w:space="0" w:color="000000"/>
            </w:tcBorders>
          </w:tcPr>
          <w:p w14:paraId="1E926E73"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9.1</w:t>
            </w:r>
            <w:r>
              <w:rPr>
                <w:rFonts w:eastAsia="Calibri" w:cs="Times New Roman"/>
                <w:szCs w:val="24"/>
              </w:rPr>
              <w:t>4</w:t>
            </w:r>
            <w:r w:rsidRPr="00842D3D">
              <w:rPr>
                <w:rFonts w:eastAsia="Calibri" w:cs="Times New Roman"/>
                <w:szCs w:val="24"/>
              </w:rPr>
              <w:t xml:space="preserve"> </w:t>
            </w:r>
          </w:p>
          <w:p w14:paraId="72A3ED31"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9.1</w:t>
            </w:r>
            <w:r>
              <w:rPr>
                <w:rFonts w:eastAsia="Calibri" w:cs="Times New Roman"/>
                <w:szCs w:val="24"/>
              </w:rPr>
              <w:t>5</w:t>
            </w:r>
            <w:r w:rsidRPr="00842D3D">
              <w:rPr>
                <w:rFonts w:eastAsia="Calibri" w:cs="Times New Roman"/>
                <w:szCs w:val="24"/>
              </w:rPr>
              <w:t xml:space="preserve"> (vehicle)</w:t>
            </w:r>
          </w:p>
        </w:tc>
      </w:tr>
      <w:tr w:rsidR="00212415" w:rsidRPr="00842D3D" w14:paraId="6578ABD6" w14:textId="77777777" w:rsidTr="004B457B">
        <w:trPr>
          <w:cantSplit/>
        </w:trPr>
        <w:tc>
          <w:tcPr>
            <w:tcW w:w="2700" w:type="dxa"/>
            <w:vMerge/>
            <w:tcBorders>
              <w:top w:val="single" w:sz="6" w:space="0" w:color="000000"/>
              <w:left w:val="single" w:sz="6" w:space="0" w:color="000000"/>
              <w:bottom w:val="nil"/>
              <w:right w:val="nil"/>
            </w:tcBorders>
          </w:tcPr>
          <w:p w14:paraId="526B6252" w14:textId="77777777" w:rsidR="00212415" w:rsidRPr="00842D3D" w:rsidRDefault="00212415" w:rsidP="004B457B">
            <w:pPr>
              <w:autoSpaceDE w:val="0"/>
              <w:autoSpaceDN w:val="0"/>
              <w:adjustRightInd w:val="0"/>
              <w:rPr>
                <w:rFonts w:eastAsia="Calibri" w:cs="Times New Roman"/>
                <w:szCs w:val="24"/>
              </w:rPr>
            </w:pPr>
          </w:p>
        </w:tc>
        <w:tc>
          <w:tcPr>
            <w:tcW w:w="1890" w:type="dxa"/>
            <w:vMerge/>
            <w:tcBorders>
              <w:top w:val="single" w:sz="6" w:space="0" w:color="000000"/>
              <w:left w:val="single" w:sz="6" w:space="0" w:color="000000"/>
              <w:bottom w:val="nil"/>
              <w:right w:val="nil"/>
            </w:tcBorders>
          </w:tcPr>
          <w:p w14:paraId="7CA7B35C" w14:textId="77777777" w:rsidR="00212415" w:rsidRPr="00842D3D" w:rsidRDefault="00212415" w:rsidP="004B457B">
            <w:pPr>
              <w:autoSpaceDE w:val="0"/>
              <w:autoSpaceDN w:val="0"/>
              <w:adjustRightInd w:val="0"/>
              <w:rPr>
                <w:rFonts w:eastAsia="Calibri" w:cs="Times New Roman"/>
                <w:szCs w:val="24"/>
              </w:rPr>
            </w:pPr>
          </w:p>
        </w:tc>
        <w:tc>
          <w:tcPr>
            <w:tcW w:w="2970" w:type="dxa"/>
            <w:tcBorders>
              <w:top w:val="single" w:sz="6" w:space="0" w:color="000000"/>
              <w:left w:val="single" w:sz="6" w:space="0" w:color="000000"/>
              <w:bottom w:val="nil"/>
              <w:right w:val="nil"/>
            </w:tcBorders>
          </w:tcPr>
          <w:p w14:paraId="4898CCE1"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Consent</w:t>
            </w:r>
          </w:p>
        </w:tc>
        <w:tc>
          <w:tcPr>
            <w:tcW w:w="1800" w:type="dxa"/>
            <w:tcBorders>
              <w:top w:val="single" w:sz="6" w:space="0" w:color="000000"/>
              <w:left w:val="single" w:sz="6" w:space="0" w:color="000000"/>
              <w:bottom w:val="nil"/>
              <w:right w:val="single" w:sz="6" w:space="0" w:color="000000"/>
            </w:tcBorders>
          </w:tcPr>
          <w:p w14:paraId="28F8A257"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9.1</w:t>
            </w:r>
            <w:r>
              <w:rPr>
                <w:rFonts w:eastAsia="Calibri" w:cs="Times New Roman"/>
                <w:szCs w:val="24"/>
              </w:rPr>
              <w:t>6</w:t>
            </w:r>
          </w:p>
        </w:tc>
      </w:tr>
      <w:tr w:rsidR="00212415" w:rsidRPr="00842D3D" w14:paraId="38E28467" w14:textId="77777777" w:rsidTr="004B457B">
        <w:trPr>
          <w:cantSplit/>
        </w:trPr>
        <w:tc>
          <w:tcPr>
            <w:tcW w:w="2700" w:type="dxa"/>
            <w:vMerge/>
            <w:tcBorders>
              <w:top w:val="single" w:sz="6" w:space="0" w:color="000000"/>
              <w:left w:val="single" w:sz="6" w:space="0" w:color="000000"/>
              <w:bottom w:val="nil"/>
              <w:right w:val="nil"/>
            </w:tcBorders>
          </w:tcPr>
          <w:p w14:paraId="61650E7A" w14:textId="77777777" w:rsidR="00212415" w:rsidRPr="00842D3D" w:rsidRDefault="00212415" w:rsidP="004B457B">
            <w:pPr>
              <w:autoSpaceDE w:val="0"/>
              <w:autoSpaceDN w:val="0"/>
              <w:adjustRightInd w:val="0"/>
              <w:rPr>
                <w:rFonts w:eastAsia="Calibri" w:cs="Times New Roman"/>
                <w:szCs w:val="24"/>
              </w:rPr>
            </w:pPr>
          </w:p>
        </w:tc>
        <w:tc>
          <w:tcPr>
            <w:tcW w:w="1890" w:type="dxa"/>
            <w:vMerge/>
            <w:tcBorders>
              <w:top w:val="single" w:sz="6" w:space="0" w:color="000000"/>
              <w:left w:val="single" w:sz="6" w:space="0" w:color="000000"/>
              <w:bottom w:val="nil"/>
              <w:right w:val="nil"/>
            </w:tcBorders>
          </w:tcPr>
          <w:p w14:paraId="7CE94113" w14:textId="77777777" w:rsidR="00212415" w:rsidRPr="00842D3D" w:rsidRDefault="00212415" w:rsidP="004B457B">
            <w:pPr>
              <w:autoSpaceDE w:val="0"/>
              <w:autoSpaceDN w:val="0"/>
              <w:adjustRightInd w:val="0"/>
              <w:rPr>
                <w:rFonts w:eastAsia="Calibri" w:cs="Times New Roman"/>
                <w:szCs w:val="24"/>
              </w:rPr>
            </w:pPr>
          </w:p>
        </w:tc>
        <w:tc>
          <w:tcPr>
            <w:tcW w:w="2970" w:type="dxa"/>
            <w:tcBorders>
              <w:top w:val="single" w:sz="6" w:space="0" w:color="000000"/>
              <w:left w:val="single" w:sz="6" w:space="0" w:color="000000"/>
              <w:bottom w:val="nil"/>
              <w:right w:val="nil"/>
            </w:tcBorders>
          </w:tcPr>
          <w:p w14:paraId="1B725F2E"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Exigent Circumstances</w:t>
            </w:r>
          </w:p>
        </w:tc>
        <w:tc>
          <w:tcPr>
            <w:tcW w:w="1800" w:type="dxa"/>
            <w:tcBorders>
              <w:top w:val="single" w:sz="6" w:space="0" w:color="000000"/>
              <w:left w:val="single" w:sz="6" w:space="0" w:color="000000"/>
              <w:bottom w:val="nil"/>
              <w:right w:val="single" w:sz="6" w:space="0" w:color="000000"/>
            </w:tcBorders>
          </w:tcPr>
          <w:p w14:paraId="0DBA2322"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9.1</w:t>
            </w:r>
            <w:r>
              <w:rPr>
                <w:rFonts w:eastAsia="Calibri" w:cs="Times New Roman"/>
                <w:szCs w:val="24"/>
              </w:rPr>
              <w:t>7</w:t>
            </w:r>
          </w:p>
        </w:tc>
      </w:tr>
      <w:tr w:rsidR="00212415" w:rsidRPr="00842D3D" w14:paraId="0F9E404F" w14:textId="77777777" w:rsidTr="004B457B">
        <w:trPr>
          <w:cantSplit/>
        </w:trPr>
        <w:tc>
          <w:tcPr>
            <w:tcW w:w="2700" w:type="dxa"/>
            <w:vMerge/>
            <w:tcBorders>
              <w:top w:val="single" w:sz="6" w:space="0" w:color="000000"/>
              <w:left w:val="single" w:sz="6" w:space="0" w:color="000000"/>
              <w:bottom w:val="nil"/>
              <w:right w:val="nil"/>
            </w:tcBorders>
          </w:tcPr>
          <w:p w14:paraId="64FE2DF8" w14:textId="77777777" w:rsidR="00212415" w:rsidRPr="00842D3D" w:rsidRDefault="00212415" w:rsidP="004B457B">
            <w:pPr>
              <w:autoSpaceDE w:val="0"/>
              <w:autoSpaceDN w:val="0"/>
              <w:adjustRightInd w:val="0"/>
              <w:rPr>
                <w:rFonts w:eastAsia="Calibri" w:cs="Times New Roman"/>
                <w:szCs w:val="24"/>
              </w:rPr>
            </w:pPr>
          </w:p>
        </w:tc>
        <w:tc>
          <w:tcPr>
            <w:tcW w:w="1890" w:type="dxa"/>
            <w:vMerge/>
            <w:tcBorders>
              <w:top w:val="single" w:sz="6" w:space="0" w:color="000000"/>
              <w:left w:val="single" w:sz="6" w:space="0" w:color="000000"/>
              <w:bottom w:val="nil"/>
              <w:right w:val="nil"/>
            </w:tcBorders>
          </w:tcPr>
          <w:p w14:paraId="06367909" w14:textId="77777777" w:rsidR="00212415" w:rsidRPr="00842D3D" w:rsidRDefault="00212415" w:rsidP="004B457B">
            <w:pPr>
              <w:autoSpaceDE w:val="0"/>
              <w:autoSpaceDN w:val="0"/>
              <w:adjustRightInd w:val="0"/>
              <w:rPr>
                <w:rFonts w:eastAsia="Calibri" w:cs="Times New Roman"/>
                <w:szCs w:val="24"/>
              </w:rPr>
            </w:pPr>
          </w:p>
        </w:tc>
        <w:tc>
          <w:tcPr>
            <w:tcW w:w="2970" w:type="dxa"/>
            <w:tcBorders>
              <w:top w:val="single" w:sz="6" w:space="0" w:color="000000"/>
              <w:left w:val="single" w:sz="6" w:space="0" w:color="000000"/>
              <w:bottom w:val="nil"/>
              <w:right w:val="nil"/>
            </w:tcBorders>
          </w:tcPr>
          <w:p w14:paraId="72CDFDFF"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Emergency Aid</w:t>
            </w:r>
          </w:p>
        </w:tc>
        <w:tc>
          <w:tcPr>
            <w:tcW w:w="1800" w:type="dxa"/>
            <w:tcBorders>
              <w:top w:val="single" w:sz="6" w:space="0" w:color="000000"/>
              <w:left w:val="single" w:sz="6" w:space="0" w:color="000000"/>
              <w:bottom w:val="nil"/>
              <w:right w:val="single" w:sz="6" w:space="0" w:color="000000"/>
            </w:tcBorders>
          </w:tcPr>
          <w:p w14:paraId="63961486"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9.1</w:t>
            </w:r>
            <w:r>
              <w:rPr>
                <w:rFonts w:eastAsia="Calibri" w:cs="Times New Roman"/>
                <w:szCs w:val="24"/>
              </w:rPr>
              <w:t>8</w:t>
            </w:r>
          </w:p>
        </w:tc>
      </w:tr>
      <w:tr w:rsidR="00212415" w:rsidRPr="00842D3D" w14:paraId="5589DC2D" w14:textId="77777777" w:rsidTr="004B457B">
        <w:trPr>
          <w:cantSplit/>
        </w:trPr>
        <w:tc>
          <w:tcPr>
            <w:tcW w:w="2700" w:type="dxa"/>
            <w:vMerge/>
            <w:tcBorders>
              <w:top w:val="single" w:sz="6" w:space="0" w:color="000000"/>
              <w:left w:val="single" w:sz="6" w:space="0" w:color="000000"/>
              <w:bottom w:val="nil"/>
              <w:right w:val="nil"/>
            </w:tcBorders>
          </w:tcPr>
          <w:p w14:paraId="4515D231" w14:textId="77777777" w:rsidR="00212415" w:rsidRPr="00842D3D" w:rsidRDefault="00212415" w:rsidP="004B457B">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712D842E"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 xml:space="preserve">Judicial Deception </w:t>
            </w:r>
          </w:p>
        </w:tc>
        <w:tc>
          <w:tcPr>
            <w:tcW w:w="1800" w:type="dxa"/>
            <w:tcBorders>
              <w:top w:val="single" w:sz="6" w:space="0" w:color="000000"/>
              <w:left w:val="single" w:sz="6" w:space="0" w:color="000000"/>
              <w:bottom w:val="nil"/>
              <w:right w:val="single" w:sz="6" w:space="0" w:color="000000"/>
            </w:tcBorders>
          </w:tcPr>
          <w:p w14:paraId="7A34C581"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9.1</w:t>
            </w:r>
            <w:r>
              <w:rPr>
                <w:rFonts w:eastAsia="Calibri" w:cs="Times New Roman"/>
                <w:szCs w:val="24"/>
              </w:rPr>
              <w:t>9</w:t>
            </w:r>
          </w:p>
        </w:tc>
      </w:tr>
      <w:tr w:rsidR="00212415" w:rsidRPr="00842D3D" w14:paraId="3571A655" w14:textId="77777777" w:rsidTr="004B457B">
        <w:trPr>
          <w:cantSplit/>
        </w:trPr>
        <w:tc>
          <w:tcPr>
            <w:tcW w:w="2700" w:type="dxa"/>
            <w:vMerge w:val="restart"/>
            <w:tcBorders>
              <w:top w:val="single" w:sz="6" w:space="0" w:color="000000"/>
              <w:left w:val="single" w:sz="6" w:space="0" w:color="000000"/>
              <w:bottom w:val="nil"/>
              <w:right w:val="nil"/>
            </w:tcBorders>
            <w:vAlign w:val="center"/>
          </w:tcPr>
          <w:p w14:paraId="24D07CFF"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Fourth Amendment</w:t>
            </w:r>
          </w:p>
          <w:p w14:paraId="6D580386"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Unreasonable Seizure of Property</w:t>
            </w:r>
          </w:p>
        </w:tc>
        <w:tc>
          <w:tcPr>
            <w:tcW w:w="4860" w:type="dxa"/>
            <w:gridSpan w:val="2"/>
            <w:tcBorders>
              <w:top w:val="single" w:sz="6" w:space="0" w:color="000000"/>
              <w:left w:val="single" w:sz="6" w:space="0" w:color="000000"/>
              <w:bottom w:val="nil"/>
              <w:right w:val="nil"/>
            </w:tcBorders>
          </w:tcPr>
          <w:p w14:paraId="648C110E" w14:textId="77777777" w:rsidR="00212415" w:rsidRPr="00842D3D" w:rsidRDefault="00212415" w:rsidP="004B457B">
            <w:pPr>
              <w:autoSpaceDE w:val="0"/>
              <w:autoSpaceDN w:val="0"/>
              <w:adjustRightInd w:val="0"/>
              <w:rPr>
                <w:rFonts w:eastAsia="Calibri" w:cs="Times New Roman"/>
                <w:szCs w:val="24"/>
              </w:rPr>
            </w:pPr>
            <w:proofErr w:type="gramStart"/>
            <w:r w:rsidRPr="00842D3D">
              <w:rPr>
                <w:rFonts w:eastAsia="Calibri" w:cs="Times New Roman"/>
                <w:szCs w:val="24"/>
              </w:rPr>
              <w:t>Generally</w:t>
            </w:r>
            <w:proofErr w:type="gramEnd"/>
          </w:p>
        </w:tc>
        <w:tc>
          <w:tcPr>
            <w:tcW w:w="1800" w:type="dxa"/>
            <w:tcBorders>
              <w:top w:val="single" w:sz="6" w:space="0" w:color="000000"/>
              <w:left w:val="single" w:sz="6" w:space="0" w:color="000000"/>
              <w:bottom w:val="nil"/>
              <w:right w:val="single" w:sz="6" w:space="0" w:color="000000"/>
            </w:tcBorders>
          </w:tcPr>
          <w:p w14:paraId="6C773D25"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w:t>
            </w:r>
            <w:r>
              <w:rPr>
                <w:rFonts w:eastAsia="Calibri" w:cs="Times New Roman"/>
                <w:szCs w:val="24"/>
              </w:rPr>
              <w:t>20</w:t>
            </w:r>
          </w:p>
        </w:tc>
      </w:tr>
      <w:tr w:rsidR="00212415" w:rsidRPr="00842D3D" w14:paraId="6EF67D00" w14:textId="77777777" w:rsidTr="004B457B">
        <w:trPr>
          <w:cantSplit/>
        </w:trPr>
        <w:tc>
          <w:tcPr>
            <w:tcW w:w="2700" w:type="dxa"/>
            <w:vMerge/>
            <w:tcBorders>
              <w:top w:val="single" w:sz="6" w:space="0" w:color="000000"/>
              <w:left w:val="single" w:sz="6" w:space="0" w:color="000000"/>
              <w:bottom w:val="nil"/>
              <w:right w:val="nil"/>
            </w:tcBorders>
          </w:tcPr>
          <w:p w14:paraId="6406E850" w14:textId="77777777" w:rsidR="00212415" w:rsidRPr="00842D3D" w:rsidRDefault="00212415" w:rsidP="004B457B">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780B324E"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Exception to Warrant Requirement</w:t>
            </w:r>
          </w:p>
        </w:tc>
        <w:tc>
          <w:tcPr>
            <w:tcW w:w="1800" w:type="dxa"/>
            <w:tcBorders>
              <w:top w:val="single" w:sz="6" w:space="0" w:color="000000"/>
              <w:left w:val="single" w:sz="6" w:space="0" w:color="000000"/>
              <w:bottom w:val="nil"/>
              <w:right w:val="single" w:sz="6" w:space="0" w:color="000000"/>
            </w:tcBorders>
          </w:tcPr>
          <w:p w14:paraId="6095D418"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w:t>
            </w:r>
            <w:r>
              <w:rPr>
                <w:rFonts w:eastAsia="Calibri" w:cs="Times New Roman"/>
                <w:szCs w:val="24"/>
              </w:rPr>
              <w:t>21</w:t>
            </w:r>
          </w:p>
        </w:tc>
      </w:tr>
      <w:tr w:rsidR="00212415" w:rsidRPr="00842D3D" w14:paraId="4EDD018F" w14:textId="77777777" w:rsidTr="004B457B">
        <w:trPr>
          <w:cantSplit/>
        </w:trPr>
        <w:tc>
          <w:tcPr>
            <w:tcW w:w="2700" w:type="dxa"/>
            <w:vMerge w:val="restart"/>
            <w:tcBorders>
              <w:top w:val="single" w:sz="6" w:space="0" w:color="000000"/>
              <w:left w:val="single" w:sz="6" w:space="0" w:color="000000"/>
              <w:bottom w:val="nil"/>
              <w:right w:val="nil"/>
            </w:tcBorders>
            <w:vAlign w:val="center"/>
          </w:tcPr>
          <w:p w14:paraId="01265281"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Fourth Amendment</w:t>
            </w:r>
          </w:p>
          <w:p w14:paraId="3637C8C0"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Unreasonable Seizure of Person</w:t>
            </w:r>
          </w:p>
        </w:tc>
        <w:tc>
          <w:tcPr>
            <w:tcW w:w="4860" w:type="dxa"/>
            <w:gridSpan w:val="2"/>
            <w:tcBorders>
              <w:top w:val="single" w:sz="6" w:space="0" w:color="000000"/>
              <w:left w:val="single" w:sz="6" w:space="0" w:color="000000"/>
              <w:bottom w:val="nil"/>
              <w:right w:val="nil"/>
            </w:tcBorders>
          </w:tcPr>
          <w:p w14:paraId="151D35D6" w14:textId="77777777" w:rsidR="00212415" w:rsidRPr="00842D3D" w:rsidRDefault="00212415" w:rsidP="004B457B">
            <w:pPr>
              <w:autoSpaceDE w:val="0"/>
              <w:autoSpaceDN w:val="0"/>
              <w:adjustRightInd w:val="0"/>
              <w:rPr>
                <w:rFonts w:eastAsia="Calibri" w:cs="Times New Roman"/>
                <w:szCs w:val="24"/>
              </w:rPr>
            </w:pPr>
            <w:proofErr w:type="gramStart"/>
            <w:r w:rsidRPr="00842D3D">
              <w:rPr>
                <w:rFonts w:eastAsia="Calibri" w:cs="Times New Roman"/>
                <w:szCs w:val="24"/>
              </w:rPr>
              <w:t>Generally</w:t>
            </w:r>
            <w:proofErr w:type="gramEnd"/>
          </w:p>
        </w:tc>
        <w:tc>
          <w:tcPr>
            <w:tcW w:w="1800" w:type="dxa"/>
            <w:tcBorders>
              <w:top w:val="single" w:sz="6" w:space="0" w:color="000000"/>
              <w:left w:val="single" w:sz="6" w:space="0" w:color="000000"/>
              <w:bottom w:val="nil"/>
              <w:right w:val="single" w:sz="6" w:space="0" w:color="000000"/>
            </w:tcBorders>
          </w:tcPr>
          <w:p w14:paraId="1CA707A5"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9.2</w:t>
            </w:r>
            <w:r>
              <w:rPr>
                <w:rFonts w:eastAsia="Calibri" w:cs="Times New Roman"/>
                <w:szCs w:val="24"/>
              </w:rPr>
              <w:t>2</w:t>
            </w:r>
          </w:p>
        </w:tc>
      </w:tr>
      <w:tr w:rsidR="00212415" w:rsidRPr="00842D3D" w14:paraId="2AD266A7" w14:textId="77777777" w:rsidTr="004B457B">
        <w:trPr>
          <w:cantSplit/>
        </w:trPr>
        <w:tc>
          <w:tcPr>
            <w:tcW w:w="2700" w:type="dxa"/>
            <w:vMerge/>
            <w:tcBorders>
              <w:top w:val="single" w:sz="6" w:space="0" w:color="000000"/>
              <w:left w:val="single" w:sz="6" w:space="0" w:color="000000"/>
              <w:bottom w:val="nil"/>
              <w:right w:val="nil"/>
            </w:tcBorders>
          </w:tcPr>
          <w:p w14:paraId="0F91A2C5" w14:textId="77777777" w:rsidR="00212415" w:rsidRPr="00842D3D" w:rsidRDefault="00212415" w:rsidP="004B457B">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611E0E8B" w14:textId="77777777" w:rsidR="00212415" w:rsidRPr="00842D3D" w:rsidRDefault="00212415" w:rsidP="004B457B">
            <w:pPr>
              <w:autoSpaceDE w:val="0"/>
              <w:autoSpaceDN w:val="0"/>
              <w:adjustRightInd w:val="0"/>
              <w:rPr>
                <w:rFonts w:eastAsia="Calibri" w:cs="Times New Roman"/>
                <w:i/>
                <w:iCs/>
                <w:szCs w:val="24"/>
              </w:rPr>
            </w:pPr>
            <w:r w:rsidRPr="00842D3D">
              <w:rPr>
                <w:rFonts w:eastAsia="Calibri" w:cs="Times New Roman"/>
                <w:szCs w:val="24"/>
              </w:rPr>
              <w:t>Exception to Warrant Requirement—</w:t>
            </w:r>
            <w:r w:rsidRPr="00842D3D">
              <w:rPr>
                <w:rFonts w:eastAsia="Calibri" w:cs="Times New Roman"/>
                <w:i/>
                <w:iCs/>
                <w:szCs w:val="24"/>
              </w:rPr>
              <w:t>Terry v. Ohio</w:t>
            </w:r>
          </w:p>
        </w:tc>
        <w:tc>
          <w:tcPr>
            <w:tcW w:w="1800" w:type="dxa"/>
            <w:tcBorders>
              <w:top w:val="single" w:sz="6" w:space="0" w:color="000000"/>
              <w:left w:val="single" w:sz="6" w:space="0" w:color="000000"/>
              <w:bottom w:val="nil"/>
              <w:right w:val="single" w:sz="6" w:space="0" w:color="000000"/>
            </w:tcBorders>
          </w:tcPr>
          <w:p w14:paraId="5920E66D"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9.2</w:t>
            </w:r>
            <w:r>
              <w:rPr>
                <w:rFonts w:eastAsia="Calibri" w:cs="Times New Roman"/>
                <w:szCs w:val="24"/>
              </w:rPr>
              <w:t>3</w:t>
            </w:r>
            <w:r w:rsidRPr="00842D3D">
              <w:rPr>
                <w:rFonts w:eastAsia="Calibri" w:cs="Times New Roman"/>
                <w:szCs w:val="24"/>
              </w:rPr>
              <w:t xml:space="preserve"> (stop)</w:t>
            </w:r>
          </w:p>
          <w:p w14:paraId="5E34CE12"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9.2</w:t>
            </w:r>
            <w:r>
              <w:rPr>
                <w:rFonts w:eastAsia="Calibri" w:cs="Times New Roman"/>
                <w:szCs w:val="24"/>
              </w:rPr>
              <w:t>4</w:t>
            </w:r>
            <w:r w:rsidRPr="00842D3D">
              <w:rPr>
                <w:rFonts w:eastAsia="Calibri" w:cs="Times New Roman"/>
                <w:szCs w:val="24"/>
              </w:rPr>
              <w:t xml:space="preserve"> (frisk)</w:t>
            </w:r>
          </w:p>
        </w:tc>
      </w:tr>
      <w:tr w:rsidR="00212415" w:rsidRPr="00842D3D" w14:paraId="4A1B9AEC" w14:textId="77777777" w:rsidTr="004B457B">
        <w:trPr>
          <w:cantSplit/>
        </w:trPr>
        <w:tc>
          <w:tcPr>
            <w:tcW w:w="2700" w:type="dxa"/>
            <w:vMerge/>
            <w:tcBorders>
              <w:top w:val="single" w:sz="6" w:space="0" w:color="000000"/>
              <w:left w:val="single" w:sz="6" w:space="0" w:color="000000"/>
              <w:bottom w:val="nil"/>
              <w:right w:val="nil"/>
            </w:tcBorders>
          </w:tcPr>
          <w:p w14:paraId="64B8CD89" w14:textId="77777777" w:rsidR="00212415" w:rsidRPr="00842D3D" w:rsidRDefault="00212415" w:rsidP="004B457B">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20B1FBCE"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Probable Cause Arrest</w:t>
            </w:r>
          </w:p>
        </w:tc>
        <w:tc>
          <w:tcPr>
            <w:tcW w:w="1800" w:type="dxa"/>
            <w:tcBorders>
              <w:top w:val="single" w:sz="6" w:space="0" w:color="000000"/>
              <w:left w:val="single" w:sz="6" w:space="0" w:color="000000"/>
              <w:bottom w:val="nil"/>
              <w:right w:val="single" w:sz="6" w:space="0" w:color="000000"/>
            </w:tcBorders>
          </w:tcPr>
          <w:p w14:paraId="6715CB0D"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9.2</w:t>
            </w:r>
            <w:r>
              <w:rPr>
                <w:rFonts w:eastAsia="Calibri" w:cs="Times New Roman"/>
                <w:szCs w:val="24"/>
              </w:rPr>
              <w:t>5</w:t>
            </w:r>
          </w:p>
        </w:tc>
      </w:tr>
      <w:tr w:rsidR="00212415" w:rsidRPr="00842D3D" w14:paraId="3EC4A5E8" w14:textId="77777777" w:rsidTr="004B457B">
        <w:trPr>
          <w:cantSplit/>
        </w:trPr>
        <w:tc>
          <w:tcPr>
            <w:tcW w:w="2700" w:type="dxa"/>
            <w:vMerge/>
            <w:tcBorders>
              <w:top w:val="single" w:sz="6" w:space="0" w:color="000000"/>
              <w:left w:val="single" w:sz="6" w:space="0" w:color="000000"/>
              <w:bottom w:val="nil"/>
              <w:right w:val="nil"/>
            </w:tcBorders>
          </w:tcPr>
          <w:p w14:paraId="20132A7A" w14:textId="77777777" w:rsidR="00212415" w:rsidRPr="00842D3D" w:rsidRDefault="00212415" w:rsidP="004B457B">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1A513C86"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Detention During Execution of Search Warrant</w:t>
            </w:r>
          </w:p>
        </w:tc>
        <w:tc>
          <w:tcPr>
            <w:tcW w:w="1800" w:type="dxa"/>
            <w:tcBorders>
              <w:top w:val="single" w:sz="6" w:space="0" w:color="000000"/>
              <w:left w:val="single" w:sz="6" w:space="0" w:color="000000"/>
              <w:bottom w:val="nil"/>
              <w:right w:val="single" w:sz="6" w:space="0" w:color="000000"/>
            </w:tcBorders>
          </w:tcPr>
          <w:p w14:paraId="398BAEFB"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9.2</w:t>
            </w:r>
            <w:r>
              <w:rPr>
                <w:rFonts w:eastAsia="Calibri" w:cs="Times New Roman"/>
                <w:szCs w:val="24"/>
              </w:rPr>
              <w:t>6</w:t>
            </w:r>
          </w:p>
        </w:tc>
      </w:tr>
      <w:tr w:rsidR="00212415" w:rsidRPr="00842D3D" w14:paraId="3E930E8B" w14:textId="77777777" w:rsidTr="004B457B">
        <w:trPr>
          <w:cantSplit/>
        </w:trPr>
        <w:tc>
          <w:tcPr>
            <w:tcW w:w="2700" w:type="dxa"/>
            <w:vMerge/>
            <w:tcBorders>
              <w:top w:val="single" w:sz="6" w:space="0" w:color="000000"/>
              <w:left w:val="single" w:sz="6" w:space="0" w:color="000000"/>
              <w:bottom w:val="nil"/>
              <w:right w:val="nil"/>
            </w:tcBorders>
          </w:tcPr>
          <w:p w14:paraId="191D7D24" w14:textId="77777777" w:rsidR="00212415" w:rsidRPr="00842D3D" w:rsidRDefault="00212415" w:rsidP="004B457B">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1B5688F9"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Excessive Force</w:t>
            </w:r>
          </w:p>
        </w:tc>
        <w:tc>
          <w:tcPr>
            <w:tcW w:w="1800" w:type="dxa"/>
            <w:tcBorders>
              <w:top w:val="single" w:sz="6" w:space="0" w:color="000000"/>
              <w:left w:val="single" w:sz="6" w:space="0" w:color="000000"/>
              <w:bottom w:val="nil"/>
              <w:right w:val="single" w:sz="6" w:space="0" w:color="000000"/>
            </w:tcBorders>
          </w:tcPr>
          <w:p w14:paraId="61D18974"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9.2</w:t>
            </w:r>
            <w:r>
              <w:rPr>
                <w:rFonts w:eastAsia="Calibri" w:cs="Times New Roman"/>
                <w:szCs w:val="24"/>
              </w:rPr>
              <w:t>7</w:t>
            </w:r>
          </w:p>
        </w:tc>
      </w:tr>
      <w:tr w:rsidR="00212415" w:rsidRPr="00842D3D" w14:paraId="30555E68" w14:textId="77777777" w:rsidTr="004B457B">
        <w:trPr>
          <w:cantSplit/>
        </w:trPr>
        <w:tc>
          <w:tcPr>
            <w:tcW w:w="2700" w:type="dxa"/>
            <w:tcBorders>
              <w:top w:val="single" w:sz="6" w:space="0" w:color="000000"/>
              <w:left w:val="single" w:sz="6" w:space="0" w:color="000000"/>
              <w:bottom w:val="nil"/>
              <w:right w:val="nil"/>
            </w:tcBorders>
          </w:tcPr>
          <w:p w14:paraId="2AA1B773"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Sixth Amendment</w:t>
            </w:r>
          </w:p>
        </w:tc>
        <w:tc>
          <w:tcPr>
            <w:tcW w:w="4860" w:type="dxa"/>
            <w:gridSpan w:val="2"/>
            <w:tcBorders>
              <w:top w:val="single" w:sz="6" w:space="0" w:color="000000"/>
              <w:left w:val="single" w:sz="6" w:space="0" w:color="000000"/>
              <w:bottom w:val="nil"/>
              <w:right w:val="nil"/>
            </w:tcBorders>
          </w:tcPr>
          <w:p w14:paraId="19077F29"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Interference with Witness</w:t>
            </w:r>
          </w:p>
        </w:tc>
        <w:tc>
          <w:tcPr>
            <w:tcW w:w="1800" w:type="dxa"/>
            <w:tcBorders>
              <w:top w:val="single" w:sz="6" w:space="0" w:color="000000"/>
              <w:left w:val="single" w:sz="6" w:space="0" w:color="000000"/>
              <w:bottom w:val="nil"/>
              <w:right w:val="single" w:sz="6" w:space="0" w:color="000000"/>
            </w:tcBorders>
          </w:tcPr>
          <w:p w14:paraId="4FA60D34"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9.2</w:t>
            </w:r>
            <w:r>
              <w:rPr>
                <w:rFonts w:eastAsia="Calibri" w:cs="Times New Roman"/>
                <w:szCs w:val="24"/>
              </w:rPr>
              <w:t>8</w:t>
            </w:r>
          </w:p>
        </w:tc>
      </w:tr>
      <w:tr w:rsidR="00212415" w:rsidRPr="00842D3D" w14:paraId="4743A3B0" w14:textId="77777777" w:rsidTr="004B457B">
        <w:trPr>
          <w:cantSplit/>
        </w:trPr>
        <w:tc>
          <w:tcPr>
            <w:tcW w:w="2700" w:type="dxa"/>
            <w:vMerge w:val="restart"/>
            <w:tcBorders>
              <w:top w:val="single" w:sz="6" w:space="0" w:color="000000"/>
              <w:left w:val="single" w:sz="6" w:space="0" w:color="000000"/>
              <w:bottom w:val="single" w:sz="6" w:space="0" w:color="000000"/>
              <w:right w:val="nil"/>
            </w:tcBorders>
            <w:vAlign w:val="center"/>
          </w:tcPr>
          <w:p w14:paraId="56137F71"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Eighth Amendment</w:t>
            </w:r>
          </w:p>
        </w:tc>
        <w:tc>
          <w:tcPr>
            <w:tcW w:w="4860" w:type="dxa"/>
            <w:gridSpan w:val="2"/>
            <w:tcBorders>
              <w:top w:val="single" w:sz="6" w:space="0" w:color="000000"/>
              <w:left w:val="single" w:sz="6" w:space="0" w:color="000000"/>
              <w:bottom w:val="nil"/>
              <w:right w:val="nil"/>
            </w:tcBorders>
          </w:tcPr>
          <w:p w14:paraId="450CECB7"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Convicted Prisoner’s Claim of Excessive Force</w:t>
            </w:r>
          </w:p>
        </w:tc>
        <w:tc>
          <w:tcPr>
            <w:tcW w:w="1800" w:type="dxa"/>
            <w:tcBorders>
              <w:top w:val="single" w:sz="6" w:space="0" w:color="000000"/>
              <w:left w:val="single" w:sz="6" w:space="0" w:color="000000"/>
              <w:bottom w:val="nil"/>
              <w:right w:val="single" w:sz="6" w:space="0" w:color="000000"/>
            </w:tcBorders>
          </w:tcPr>
          <w:p w14:paraId="1BE1FA14"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9.2</w:t>
            </w:r>
            <w:r>
              <w:rPr>
                <w:rFonts w:eastAsia="Calibri" w:cs="Times New Roman"/>
                <w:szCs w:val="24"/>
              </w:rPr>
              <w:t>9</w:t>
            </w:r>
          </w:p>
        </w:tc>
      </w:tr>
      <w:tr w:rsidR="00212415" w:rsidRPr="00842D3D" w14:paraId="71179335" w14:textId="77777777" w:rsidTr="004B457B">
        <w:trPr>
          <w:cantSplit/>
          <w:trHeight w:val="453"/>
        </w:trPr>
        <w:tc>
          <w:tcPr>
            <w:tcW w:w="2700" w:type="dxa"/>
            <w:vMerge/>
            <w:tcBorders>
              <w:top w:val="single" w:sz="6" w:space="0" w:color="000000"/>
              <w:left w:val="single" w:sz="6" w:space="0" w:color="000000"/>
              <w:bottom w:val="nil"/>
              <w:right w:val="nil"/>
            </w:tcBorders>
          </w:tcPr>
          <w:p w14:paraId="08EB694A" w14:textId="77777777" w:rsidR="00212415" w:rsidRPr="00842D3D" w:rsidRDefault="00212415" w:rsidP="004B457B">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4A32E0E6"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Convicted Prisoner’s Claim of Sexual Assault</w:t>
            </w:r>
          </w:p>
        </w:tc>
        <w:tc>
          <w:tcPr>
            <w:tcW w:w="1800" w:type="dxa"/>
            <w:tcBorders>
              <w:top w:val="single" w:sz="6" w:space="0" w:color="000000"/>
              <w:left w:val="single" w:sz="6" w:space="0" w:color="000000"/>
              <w:bottom w:val="nil"/>
              <w:right w:val="single" w:sz="6" w:space="0" w:color="000000"/>
            </w:tcBorders>
          </w:tcPr>
          <w:p w14:paraId="1CEAA70E"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w:t>
            </w:r>
            <w:r>
              <w:rPr>
                <w:rFonts w:eastAsia="Calibri" w:cs="Times New Roman"/>
                <w:szCs w:val="24"/>
              </w:rPr>
              <w:t>30</w:t>
            </w:r>
          </w:p>
        </w:tc>
      </w:tr>
      <w:tr w:rsidR="00212415" w:rsidRPr="00842D3D" w14:paraId="7E7BE5CF" w14:textId="77777777" w:rsidTr="004B457B">
        <w:trPr>
          <w:cantSplit/>
          <w:trHeight w:val="766"/>
        </w:trPr>
        <w:tc>
          <w:tcPr>
            <w:tcW w:w="2700" w:type="dxa"/>
            <w:vMerge/>
            <w:tcBorders>
              <w:top w:val="single" w:sz="6" w:space="0" w:color="000000"/>
              <w:left w:val="single" w:sz="6" w:space="0" w:color="000000"/>
              <w:bottom w:val="nil"/>
              <w:right w:val="nil"/>
            </w:tcBorders>
          </w:tcPr>
          <w:p w14:paraId="30775144" w14:textId="77777777" w:rsidR="00212415" w:rsidRPr="00842D3D" w:rsidRDefault="00212415" w:rsidP="004B457B">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6C755EAA"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Convicted Prisoner’s Claim re Conditions of Confinement/Medical Care</w:t>
            </w:r>
            <w:r w:rsidRPr="00842D3D">
              <w:rPr>
                <w:rFonts w:eastAsia="Calibri" w:cs="Times New Roman"/>
                <w:szCs w:val="24"/>
              </w:rPr>
              <w:tab/>
            </w:r>
          </w:p>
        </w:tc>
        <w:tc>
          <w:tcPr>
            <w:tcW w:w="1800" w:type="dxa"/>
            <w:tcBorders>
              <w:top w:val="single" w:sz="6" w:space="0" w:color="000000"/>
              <w:left w:val="single" w:sz="6" w:space="0" w:color="000000"/>
              <w:bottom w:val="nil"/>
              <w:right w:val="single" w:sz="6" w:space="0" w:color="000000"/>
            </w:tcBorders>
          </w:tcPr>
          <w:p w14:paraId="6DBD8C1A"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w:t>
            </w:r>
            <w:r>
              <w:rPr>
                <w:rFonts w:eastAsia="Calibri" w:cs="Times New Roman"/>
                <w:szCs w:val="24"/>
              </w:rPr>
              <w:t>31</w:t>
            </w:r>
          </w:p>
          <w:p w14:paraId="1BB4B476" w14:textId="77777777" w:rsidR="00212415" w:rsidRPr="00842D3D" w:rsidRDefault="00212415" w:rsidP="004B457B">
            <w:pPr>
              <w:autoSpaceDE w:val="0"/>
              <w:autoSpaceDN w:val="0"/>
              <w:adjustRightInd w:val="0"/>
              <w:rPr>
                <w:rFonts w:eastAsia="Calibri" w:cs="Times New Roman"/>
                <w:szCs w:val="24"/>
              </w:rPr>
            </w:pPr>
          </w:p>
        </w:tc>
      </w:tr>
      <w:tr w:rsidR="00212415" w:rsidRPr="00842D3D" w14:paraId="239FAF2C" w14:textId="77777777" w:rsidTr="004B457B">
        <w:trPr>
          <w:cantSplit/>
          <w:trHeight w:val="516"/>
        </w:trPr>
        <w:tc>
          <w:tcPr>
            <w:tcW w:w="2700" w:type="dxa"/>
            <w:vMerge/>
            <w:tcBorders>
              <w:top w:val="single" w:sz="6" w:space="0" w:color="000000"/>
              <w:left w:val="single" w:sz="6" w:space="0" w:color="000000"/>
              <w:bottom w:val="single" w:sz="6" w:space="0" w:color="000000"/>
              <w:right w:val="nil"/>
            </w:tcBorders>
          </w:tcPr>
          <w:p w14:paraId="722C3952" w14:textId="77777777" w:rsidR="00212415" w:rsidRPr="00842D3D" w:rsidRDefault="00212415" w:rsidP="004B457B">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single" w:sz="6" w:space="0" w:color="000000"/>
              <w:right w:val="nil"/>
            </w:tcBorders>
          </w:tcPr>
          <w:p w14:paraId="259FFA33"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Convicted Prisoner’s Claim of Failure to Protect</w:t>
            </w:r>
          </w:p>
        </w:tc>
        <w:tc>
          <w:tcPr>
            <w:tcW w:w="1800" w:type="dxa"/>
            <w:tcBorders>
              <w:top w:val="single" w:sz="6" w:space="0" w:color="000000"/>
              <w:left w:val="single" w:sz="6" w:space="0" w:color="000000"/>
              <w:bottom w:val="single" w:sz="6" w:space="0" w:color="000000"/>
              <w:right w:val="single" w:sz="6" w:space="0" w:color="000000"/>
            </w:tcBorders>
          </w:tcPr>
          <w:p w14:paraId="054E304D"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w:t>
            </w:r>
            <w:r>
              <w:rPr>
                <w:rFonts w:eastAsia="Calibri" w:cs="Times New Roman"/>
                <w:szCs w:val="24"/>
              </w:rPr>
              <w:t>32</w:t>
            </w:r>
          </w:p>
        </w:tc>
      </w:tr>
      <w:tr w:rsidR="00212415" w:rsidRPr="00842D3D" w14:paraId="33E9FF78" w14:textId="77777777" w:rsidTr="004B457B">
        <w:trPr>
          <w:cantSplit/>
          <w:trHeight w:val="766"/>
        </w:trPr>
        <w:tc>
          <w:tcPr>
            <w:tcW w:w="2700" w:type="dxa"/>
            <w:vMerge w:val="restart"/>
            <w:tcBorders>
              <w:top w:val="single" w:sz="6" w:space="0" w:color="000000"/>
              <w:left w:val="single" w:sz="6" w:space="0" w:color="000000"/>
              <w:bottom w:val="single" w:sz="6" w:space="0" w:color="000000"/>
              <w:right w:val="nil"/>
            </w:tcBorders>
            <w:vAlign w:val="center"/>
          </w:tcPr>
          <w:p w14:paraId="4010037A"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Fourteenth Amendment</w:t>
            </w:r>
          </w:p>
        </w:tc>
        <w:tc>
          <w:tcPr>
            <w:tcW w:w="4860" w:type="dxa"/>
            <w:gridSpan w:val="2"/>
            <w:tcBorders>
              <w:top w:val="single" w:sz="6" w:space="0" w:color="000000"/>
              <w:left w:val="single" w:sz="6" w:space="0" w:color="000000"/>
              <w:bottom w:val="nil"/>
              <w:right w:val="nil"/>
            </w:tcBorders>
          </w:tcPr>
          <w:p w14:paraId="416226A7"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Pretrial Detainee’s Claim of Excessive Force</w:t>
            </w:r>
          </w:p>
        </w:tc>
        <w:tc>
          <w:tcPr>
            <w:tcW w:w="1800" w:type="dxa"/>
            <w:tcBorders>
              <w:top w:val="single" w:sz="6" w:space="0" w:color="000000"/>
              <w:left w:val="single" w:sz="6" w:space="0" w:color="000000"/>
              <w:bottom w:val="nil"/>
              <w:right w:val="single" w:sz="6" w:space="0" w:color="000000"/>
            </w:tcBorders>
          </w:tcPr>
          <w:p w14:paraId="6D71AB82"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w:t>
            </w:r>
            <w:r>
              <w:rPr>
                <w:rFonts w:eastAsia="Calibri" w:cs="Times New Roman"/>
                <w:szCs w:val="24"/>
              </w:rPr>
              <w:t>33</w:t>
            </w:r>
          </w:p>
          <w:p w14:paraId="3CCD8812" w14:textId="77777777" w:rsidR="00212415" w:rsidRPr="00842D3D" w:rsidRDefault="00212415" w:rsidP="004B457B">
            <w:pPr>
              <w:autoSpaceDE w:val="0"/>
              <w:autoSpaceDN w:val="0"/>
              <w:adjustRightInd w:val="0"/>
              <w:rPr>
                <w:rFonts w:eastAsia="Calibri" w:cs="Times New Roman"/>
                <w:szCs w:val="24"/>
              </w:rPr>
            </w:pPr>
          </w:p>
        </w:tc>
      </w:tr>
      <w:tr w:rsidR="00212415" w:rsidRPr="00842D3D" w14:paraId="4D445B80" w14:textId="77777777" w:rsidTr="004B457B">
        <w:trPr>
          <w:cantSplit/>
          <w:trHeight w:val="766"/>
        </w:trPr>
        <w:tc>
          <w:tcPr>
            <w:tcW w:w="2700" w:type="dxa"/>
            <w:vMerge/>
            <w:tcBorders>
              <w:top w:val="single" w:sz="6" w:space="0" w:color="000000"/>
              <w:left w:val="single" w:sz="6" w:space="0" w:color="000000"/>
              <w:bottom w:val="nil"/>
              <w:right w:val="nil"/>
            </w:tcBorders>
          </w:tcPr>
          <w:p w14:paraId="32FA6BC5" w14:textId="77777777" w:rsidR="00212415" w:rsidRPr="00842D3D" w:rsidRDefault="00212415" w:rsidP="004B457B">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4C0541DA"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 xml:space="preserve">Pretrial Detainee’s Claim re Conditions of Confinement/Medical Care </w:t>
            </w:r>
          </w:p>
        </w:tc>
        <w:tc>
          <w:tcPr>
            <w:tcW w:w="1800" w:type="dxa"/>
            <w:tcBorders>
              <w:top w:val="single" w:sz="6" w:space="0" w:color="000000"/>
              <w:left w:val="single" w:sz="6" w:space="0" w:color="000000"/>
              <w:bottom w:val="nil"/>
              <w:right w:val="single" w:sz="6" w:space="0" w:color="000000"/>
            </w:tcBorders>
          </w:tcPr>
          <w:p w14:paraId="00BC2782"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9.3</w:t>
            </w:r>
            <w:r>
              <w:rPr>
                <w:rFonts w:eastAsia="Calibri" w:cs="Times New Roman"/>
                <w:szCs w:val="24"/>
              </w:rPr>
              <w:t>4</w:t>
            </w:r>
          </w:p>
        </w:tc>
      </w:tr>
      <w:tr w:rsidR="00212415" w:rsidRPr="00842D3D" w14:paraId="2CE270C8" w14:textId="77777777" w:rsidTr="004B457B">
        <w:trPr>
          <w:cantSplit/>
          <w:trHeight w:val="462"/>
        </w:trPr>
        <w:tc>
          <w:tcPr>
            <w:tcW w:w="2700" w:type="dxa"/>
            <w:vMerge/>
            <w:tcBorders>
              <w:top w:val="single" w:sz="6" w:space="0" w:color="000000"/>
              <w:left w:val="single" w:sz="6" w:space="0" w:color="000000"/>
              <w:bottom w:val="nil"/>
              <w:right w:val="nil"/>
            </w:tcBorders>
          </w:tcPr>
          <w:p w14:paraId="52771CF6" w14:textId="77777777" w:rsidR="00212415" w:rsidRPr="00842D3D" w:rsidRDefault="00212415" w:rsidP="004B457B">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3E9ED80B"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Pretrial Detainee’s Claim of Failure to Protect</w:t>
            </w:r>
          </w:p>
        </w:tc>
        <w:tc>
          <w:tcPr>
            <w:tcW w:w="1800" w:type="dxa"/>
            <w:tcBorders>
              <w:top w:val="single" w:sz="6" w:space="0" w:color="000000"/>
              <w:left w:val="single" w:sz="6" w:space="0" w:color="000000"/>
              <w:bottom w:val="nil"/>
              <w:right w:val="single" w:sz="6" w:space="0" w:color="000000"/>
            </w:tcBorders>
          </w:tcPr>
          <w:p w14:paraId="6ED2ED31"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9.3</w:t>
            </w:r>
            <w:r>
              <w:rPr>
                <w:rFonts w:eastAsia="Calibri" w:cs="Times New Roman"/>
                <w:szCs w:val="24"/>
              </w:rPr>
              <w:t>5</w:t>
            </w:r>
          </w:p>
        </w:tc>
      </w:tr>
      <w:tr w:rsidR="00212415" w:rsidRPr="00842D3D" w14:paraId="05677169" w14:textId="77777777" w:rsidTr="004B457B">
        <w:trPr>
          <w:cantSplit/>
          <w:trHeight w:val="525"/>
        </w:trPr>
        <w:tc>
          <w:tcPr>
            <w:tcW w:w="2700" w:type="dxa"/>
            <w:vMerge/>
            <w:tcBorders>
              <w:top w:val="single" w:sz="6" w:space="0" w:color="000000"/>
              <w:left w:val="single" w:sz="6" w:space="0" w:color="000000"/>
              <w:bottom w:val="nil"/>
              <w:right w:val="nil"/>
            </w:tcBorders>
          </w:tcPr>
          <w:p w14:paraId="060D656D" w14:textId="77777777" w:rsidR="00212415" w:rsidRPr="00842D3D" w:rsidRDefault="00212415" w:rsidP="004B457B">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4AF8C5FD"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Interference With Parent/Child Relationship</w:t>
            </w:r>
          </w:p>
        </w:tc>
        <w:tc>
          <w:tcPr>
            <w:tcW w:w="1800" w:type="dxa"/>
            <w:tcBorders>
              <w:top w:val="single" w:sz="6" w:space="0" w:color="000000"/>
              <w:left w:val="single" w:sz="6" w:space="0" w:color="000000"/>
              <w:bottom w:val="nil"/>
              <w:right w:val="single" w:sz="6" w:space="0" w:color="000000"/>
            </w:tcBorders>
          </w:tcPr>
          <w:p w14:paraId="44D04803"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9.3</w:t>
            </w:r>
            <w:r>
              <w:rPr>
                <w:rFonts w:eastAsia="Calibri" w:cs="Times New Roman"/>
                <w:szCs w:val="24"/>
              </w:rPr>
              <w:t>6</w:t>
            </w:r>
          </w:p>
        </w:tc>
      </w:tr>
      <w:tr w:rsidR="00212415" w:rsidRPr="00842D3D" w14:paraId="5714BC66" w14:textId="77777777" w:rsidTr="004B457B">
        <w:trPr>
          <w:cantSplit/>
          <w:trHeight w:val="525"/>
        </w:trPr>
        <w:tc>
          <w:tcPr>
            <w:tcW w:w="2700" w:type="dxa"/>
            <w:vMerge/>
            <w:tcBorders>
              <w:top w:val="single" w:sz="6" w:space="0" w:color="000000"/>
              <w:left w:val="single" w:sz="6" w:space="0" w:color="000000"/>
              <w:bottom w:val="nil"/>
              <w:right w:val="nil"/>
            </w:tcBorders>
          </w:tcPr>
          <w:p w14:paraId="6C768635" w14:textId="77777777" w:rsidR="00212415" w:rsidRPr="00842D3D" w:rsidRDefault="00212415" w:rsidP="004B457B">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1A07A0E2"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Civil Commitment</w:t>
            </w:r>
          </w:p>
        </w:tc>
        <w:tc>
          <w:tcPr>
            <w:tcW w:w="1800" w:type="dxa"/>
            <w:tcBorders>
              <w:top w:val="single" w:sz="6" w:space="0" w:color="000000"/>
              <w:left w:val="single" w:sz="6" w:space="0" w:color="000000"/>
              <w:bottom w:val="nil"/>
              <w:right w:val="single" w:sz="6" w:space="0" w:color="000000"/>
            </w:tcBorders>
          </w:tcPr>
          <w:p w14:paraId="31B3BADF"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9.3</w:t>
            </w:r>
            <w:r>
              <w:rPr>
                <w:rFonts w:eastAsia="Calibri" w:cs="Times New Roman"/>
                <w:szCs w:val="24"/>
              </w:rPr>
              <w:t>7</w:t>
            </w:r>
          </w:p>
        </w:tc>
      </w:tr>
      <w:tr w:rsidR="00212415" w:rsidRPr="00842D3D" w14:paraId="2F40736C" w14:textId="77777777" w:rsidTr="004B457B">
        <w:trPr>
          <w:cantSplit/>
          <w:trHeight w:val="525"/>
        </w:trPr>
        <w:tc>
          <w:tcPr>
            <w:tcW w:w="2700" w:type="dxa"/>
            <w:vMerge/>
            <w:tcBorders>
              <w:top w:val="single" w:sz="6" w:space="0" w:color="000000"/>
              <w:left w:val="single" w:sz="6" w:space="0" w:color="000000"/>
              <w:bottom w:val="nil"/>
              <w:right w:val="nil"/>
            </w:tcBorders>
          </w:tcPr>
          <w:p w14:paraId="518C8885" w14:textId="77777777" w:rsidR="00212415" w:rsidRPr="00842D3D" w:rsidRDefault="00212415" w:rsidP="004B457B">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175E2CA3"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Deliberate Fabrication of Evidence</w:t>
            </w:r>
          </w:p>
        </w:tc>
        <w:tc>
          <w:tcPr>
            <w:tcW w:w="1800" w:type="dxa"/>
            <w:tcBorders>
              <w:top w:val="single" w:sz="6" w:space="0" w:color="000000"/>
              <w:left w:val="single" w:sz="6" w:space="0" w:color="000000"/>
              <w:bottom w:val="nil"/>
              <w:right w:val="single" w:sz="6" w:space="0" w:color="000000"/>
            </w:tcBorders>
          </w:tcPr>
          <w:p w14:paraId="12E32649"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9.3</w:t>
            </w:r>
            <w:r>
              <w:rPr>
                <w:rFonts w:eastAsia="Calibri" w:cs="Times New Roman"/>
                <w:szCs w:val="24"/>
              </w:rPr>
              <w:t>8</w:t>
            </w:r>
          </w:p>
        </w:tc>
      </w:tr>
      <w:tr w:rsidR="00212415" w:rsidRPr="00842D3D" w14:paraId="471EF4E4" w14:textId="77777777" w:rsidTr="004B457B">
        <w:trPr>
          <w:cantSplit/>
          <w:trHeight w:val="525"/>
        </w:trPr>
        <w:tc>
          <w:tcPr>
            <w:tcW w:w="2700" w:type="dxa"/>
            <w:vMerge/>
            <w:tcBorders>
              <w:top w:val="single" w:sz="6" w:space="0" w:color="000000"/>
              <w:left w:val="single" w:sz="6" w:space="0" w:color="000000"/>
              <w:bottom w:val="nil"/>
              <w:right w:val="nil"/>
            </w:tcBorders>
          </w:tcPr>
          <w:p w14:paraId="5698B2DA" w14:textId="77777777" w:rsidR="00212415" w:rsidRPr="00842D3D" w:rsidRDefault="00212415" w:rsidP="004B457B">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3B122D03"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Deliberate or Reckless Suppression of Evidence</w:t>
            </w:r>
          </w:p>
        </w:tc>
        <w:tc>
          <w:tcPr>
            <w:tcW w:w="1800" w:type="dxa"/>
            <w:tcBorders>
              <w:top w:val="single" w:sz="6" w:space="0" w:color="000000"/>
              <w:left w:val="single" w:sz="6" w:space="0" w:color="000000"/>
              <w:bottom w:val="nil"/>
              <w:right w:val="single" w:sz="6" w:space="0" w:color="000000"/>
            </w:tcBorders>
          </w:tcPr>
          <w:p w14:paraId="4355A16F"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9.3</w:t>
            </w:r>
            <w:r>
              <w:rPr>
                <w:rFonts w:eastAsia="Calibri" w:cs="Times New Roman"/>
                <w:szCs w:val="24"/>
              </w:rPr>
              <w:t>9</w:t>
            </w:r>
          </w:p>
        </w:tc>
      </w:tr>
      <w:tr w:rsidR="00212415" w:rsidRPr="00842D3D" w14:paraId="574DABF4" w14:textId="77777777" w:rsidTr="004B457B">
        <w:trPr>
          <w:cantSplit/>
          <w:trHeight w:val="525"/>
        </w:trPr>
        <w:tc>
          <w:tcPr>
            <w:tcW w:w="2700" w:type="dxa"/>
            <w:vMerge/>
            <w:tcBorders>
              <w:top w:val="single" w:sz="6" w:space="0" w:color="000000"/>
              <w:left w:val="single" w:sz="6" w:space="0" w:color="000000"/>
              <w:bottom w:val="single" w:sz="6" w:space="0" w:color="000000"/>
              <w:right w:val="nil"/>
            </w:tcBorders>
          </w:tcPr>
          <w:p w14:paraId="09A5B94E" w14:textId="77777777" w:rsidR="00212415" w:rsidRPr="00842D3D" w:rsidRDefault="00212415" w:rsidP="004B457B">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single" w:sz="6" w:space="0" w:color="000000"/>
              <w:right w:val="nil"/>
            </w:tcBorders>
          </w:tcPr>
          <w:p w14:paraId="35C29D15"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 xml:space="preserve">State-Created Danger </w:t>
            </w:r>
          </w:p>
        </w:tc>
        <w:tc>
          <w:tcPr>
            <w:tcW w:w="1800" w:type="dxa"/>
            <w:tcBorders>
              <w:top w:val="single" w:sz="6" w:space="0" w:color="000000"/>
              <w:left w:val="single" w:sz="6" w:space="0" w:color="000000"/>
              <w:bottom w:val="single" w:sz="6" w:space="0" w:color="000000"/>
              <w:right w:val="single" w:sz="6" w:space="0" w:color="000000"/>
            </w:tcBorders>
          </w:tcPr>
          <w:p w14:paraId="06110DDE" w14:textId="77777777" w:rsidR="00212415" w:rsidRPr="00842D3D" w:rsidRDefault="00212415" w:rsidP="004B457B">
            <w:pPr>
              <w:autoSpaceDE w:val="0"/>
              <w:autoSpaceDN w:val="0"/>
              <w:adjustRightInd w:val="0"/>
              <w:rPr>
                <w:rFonts w:eastAsia="Calibri" w:cs="Times New Roman"/>
                <w:szCs w:val="24"/>
              </w:rPr>
            </w:pPr>
            <w:r w:rsidRPr="00842D3D">
              <w:rPr>
                <w:rFonts w:eastAsia="Calibri" w:cs="Times New Roman"/>
                <w:szCs w:val="24"/>
              </w:rPr>
              <w:t>9.</w:t>
            </w:r>
            <w:r>
              <w:rPr>
                <w:rFonts w:eastAsia="Calibri" w:cs="Times New Roman"/>
                <w:szCs w:val="24"/>
              </w:rPr>
              <w:t>40</w:t>
            </w:r>
          </w:p>
        </w:tc>
      </w:tr>
    </w:tbl>
    <w:p w14:paraId="59CA9338" w14:textId="77777777" w:rsidR="00212415" w:rsidRPr="00842D3D" w:rsidRDefault="00212415" w:rsidP="00212415">
      <w:pPr>
        <w:autoSpaceDE w:val="0"/>
        <w:autoSpaceDN w:val="0"/>
        <w:adjustRightInd w:val="0"/>
        <w:rPr>
          <w:rFonts w:eastAsia="Calibri" w:cs="Times New Roman"/>
          <w:szCs w:val="24"/>
        </w:rPr>
      </w:pPr>
    </w:p>
    <w:p w14:paraId="4B7EB48B" w14:textId="77777777" w:rsidR="00212415" w:rsidRPr="00842D3D" w:rsidRDefault="00212415" w:rsidP="00212415">
      <w:pPr>
        <w:autoSpaceDE w:val="0"/>
        <w:autoSpaceDN w:val="0"/>
        <w:adjustRightInd w:val="0"/>
        <w:rPr>
          <w:rFonts w:eastAsia="Calibri" w:cs="Times New Roman"/>
          <w:szCs w:val="24"/>
        </w:rPr>
      </w:pPr>
      <w:r w:rsidRPr="00842D3D">
        <w:rPr>
          <w:rFonts w:eastAsia="Calibri" w:cs="Times New Roman"/>
          <w:b/>
          <w:bCs/>
          <w:szCs w:val="24"/>
        </w:rPr>
        <w:t>Person Subject to § 1983 Liability</w:t>
      </w:r>
    </w:p>
    <w:p w14:paraId="56E1133C" w14:textId="77777777" w:rsidR="00212415" w:rsidRPr="00842D3D" w:rsidRDefault="00212415" w:rsidP="00212415">
      <w:pPr>
        <w:autoSpaceDE w:val="0"/>
        <w:autoSpaceDN w:val="0"/>
        <w:adjustRightInd w:val="0"/>
        <w:rPr>
          <w:rFonts w:eastAsia="Calibri" w:cs="Times New Roman"/>
          <w:szCs w:val="24"/>
        </w:rPr>
      </w:pPr>
    </w:p>
    <w:p w14:paraId="13ABBD5D" w14:textId="77777777" w:rsidR="00212415" w:rsidRPr="00842D3D" w:rsidRDefault="00212415" w:rsidP="00212415">
      <w:pPr>
        <w:autoSpaceDE w:val="0"/>
        <w:autoSpaceDN w:val="0"/>
        <w:adjustRightInd w:val="0"/>
        <w:rPr>
          <w:rFonts w:eastAsia="Calibri" w:cs="Times New Roman"/>
          <w:szCs w:val="24"/>
        </w:rPr>
      </w:pPr>
      <w:r w:rsidRPr="00842D3D">
        <w:rPr>
          <w:rFonts w:eastAsia="Calibri" w:cs="Times New Roman"/>
          <w:szCs w:val="24"/>
        </w:rPr>
        <w:tab/>
        <w:t>It is well settled that a “person” subject to liability can be an individual sued in an individual capacity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Devereaux v. Abbey</w:t>
      </w:r>
      <w:r w:rsidRPr="00842D3D">
        <w:rPr>
          <w:rFonts w:eastAsia="Calibri" w:cs="Times New Roman"/>
          <w:szCs w:val="24"/>
        </w:rPr>
        <w:t>, 263 F.3d 1070, 1074 (9th Cir. 2001) (en banc)) or in an official capacity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Hartmann v. Cal. Dep’t of Corr. &amp; Rehab.</w:t>
      </w:r>
      <w:r w:rsidRPr="00842D3D">
        <w:rPr>
          <w:rFonts w:eastAsia="Calibri" w:cs="Times New Roman"/>
          <w:szCs w:val="24"/>
        </w:rPr>
        <w:t>, 707 F.3d 1114, 1127 (9th Cir. 2013)). A “person” subject to liability can also be a municipality, county, or other local governing body. (</w:t>
      </w:r>
      <w:r w:rsidRPr="00842D3D">
        <w:rPr>
          <w:rFonts w:eastAsia="Calibri" w:cs="Times New Roman"/>
          <w:i/>
          <w:iCs/>
          <w:szCs w:val="24"/>
        </w:rPr>
        <w:t>See Monell v. Dep’t of Soc. Servs. of City of N.Y.</w:t>
      </w:r>
      <w:r w:rsidRPr="00842D3D">
        <w:rPr>
          <w:rFonts w:eastAsia="Calibri" w:cs="Times New Roman"/>
          <w:szCs w:val="24"/>
        </w:rPr>
        <w:t xml:space="preserve">, 436 U.S. 658, 690 (1978); </w:t>
      </w:r>
      <w:r w:rsidRPr="00842D3D">
        <w:rPr>
          <w:rFonts w:eastAsia="Calibri" w:cs="Times New Roman"/>
          <w:i/>
          <w:iCs/>
          <w:szCs w:val="24"/>
        </w:rPr>
        <w:t>Waggy v. Spokane County</w:t>
      </w:r>
      <w:r w:rsidRPr="00842D3D">
        <w:rPr>
          <w:rFonts w:eastAsia="Calibri" w:cs="Times New Roman"/>
          <w:szCs w:val="24"/>
        </w:rPr>
        <w:t xml:space="preserve">, 594 F.3d 707, 713 (9th Cir. 2010) (“Municipalities are considered ‘persons’ under 42 U.S.C. § 1983.”); </w:t>
      </w:r>
      <w:r w:rsidRPr="00842D3D">
        <w:rPr>
          <w:rFonts w:eastAsia="Calibri" w:cs="Times New Roman"/>
          <w:i/>
          <w:iCs/>
          <w:szCs w:val="24"/>
        </w:rPr>
        <w:t>King v. County of Los Angeles</w:t>
      </w:r>
      <w:r w:rsidRPr="00842D3D">
        <w:rPr>
          <w:rFonts w:eastAsia="Calibri" w:cs="Times New Roman"/>
          <w:szCs w:val="24"/>
        </w:rPr>
        <w:t xml:space="preserve">, 885 F.3d 548, 558 (9th Cir. 2018) (“A county is subject to Section 1983 liability </w:t>
      </w:r>
      <w:proofErr w:type="gramStart"/>
      <w:r w:rsidRPr="00842D3D">
        <w:rPr>
          <w:rFonts w:eastAsia="Calibri" w:cs="Times New Roman"/>
          <w:szCs w:val="24"/>
        </w:rPr>
        <w:t>. . . .</w:t>
      </w:r>
      <w:proofErr w:type="gramEnd"/>
      <w:r w:rsidRPr="00842D3D">
        <w:rPr>
          <w:rFonts w:eastAsia="Calibri" w:cs="Times New Roman"/>
          <w:szCs w:val="24"/>
        </w:rPr>
        <w:t xml:space="preserve">”)). </w:t>
      </w:r>
    </w:p>
    <w:p w14:paraId="3E8C6716" w14:textId="77777777" w:rsidR="00212415" w:rsidRPr="00842D3D" w:rsidRDefault="00212415" w:rsidP="00212415">
      <w:pPr>
        <w:autoSpaceDE w:val="0"/>
        <w:autoSpaceDN w:val="0"/>
        <w:adjustRightInd w:val="0"/>
        <w:rPr>
          <w:rFonts w:eastAsia="Calibri" w:cs="Times New Roman"/>
          <w:szCs w:val="24"/>
        </w:rPr>
      </w:pPr>
    </w:p>
    <w:p w14:paraId="2B5B89B7" w14:textId="77777777" w:rsidR="00212415" w:rsidRPr="00842D3D" w:rsidRDefault="00212415" w:rsidP="00212415">
      <w:pPr>
        <w:autoSpaceDE w:val="0"/>
        <w:autoSpaceDN w:val="0"/>
        <w:adjustRightInd w:val="0"/>
        <w:rPr>
          <w:rFonts w:eastAsia="Calibri" w:cs="Times New Roman"/>
          <w:szCs w:val="24"/>
        </w:rPr>
      </w:pPr>
      <w:r w:rsidRPr="00842D3D">
        <w:rPr>
          <w:rFonts w:eastAsia="Calibri" w:cs="Times New Roman"/>
          <w:b/>
          <w:bCs/>
          <w:szCs w:val="24"/>
        </w:rPr>
        <w:t>Local Governing Body Liability</w:t>
      </w:r>
    </w:p>
    <w:p w14:paraId="71BEF956" w14:textId="77777777" w:rsidR="00212415" w:rsidRPr="00842D3D" w:rsidRDefault="00212415" w:rsidP="00212415">
      <w:pPr>
        <w:autoSpaceDE w:val="0"/>
        <w:autoSpaceDN w:val="0"/>
        <w:adjustRightInd w:val="0"/>
        <w:rPr>
          <w:rFonts w:eastAsia="Calibri" w:cs="Times New Roman"/>
          <w:szCs w:val="24"/>
        </w:rPr>
      </w:pPr>
    </w:p>
    <w:p w14:paraId="46703980" w14:textId="77777777" w:rsidR="00212415" w:rsidRPr="00842D3D" w:rsidRDefault="00212415" w:rsidP="00212415">
      <w:pPr>
        <w:autoSpaceDE w:val="0"/>
        <w:autoSpaceDN w:val="0"/>
        <w:adjustRightInd w:val="0"/>
        <w:rPr>
          <w:rFonts w:eastAsia="Calibri" w:cs="Times New Roman"/>
          <w:szCs w:val="24"/>
        </w:rPr>
      </w:pPr>
      <w:r w:rsidRPr="00842D3D">
        <w:rPr>
          <w:rFonts w:eastAsia="Calibri" w:cs="Times New Roman"/>
          <w:szCs w:val="24"/>
        </w:rPr>
        <w:tab/>
        <w:t xml:space="preserve">A local governing body is not liable under § 1983 “unless action pursuant to official municipal policy of some nature caused a constitutional tort.” </w:t>
      </w:r>
      <w:r w:rsidRPr="00842D3D">
        <w:rPr>
          <w:rFonts w:eastAsia="Calibri" w:cs="Times New Roman"/>
          <w:i/>
          <w:iCs/>
          <w:szCs w:val="24"/>
        </w:rPr>
        <w:t>Monell</w:t>
      </w:r>
      <w:r w:rsidRPr="00842D3D">
        <w:rPr>
          <w:rFonts w:eastAsia="Calibri" w:cs="Times New Roman"/>
          <w:szCs w:val="24"/>
        </w:rPr>
        <w:t xml:space="preserve">, 436 U.S. at 691. </w:t>
      </w:r>
      <w:r w:rsidRPr="00842D3D">
        <w:rPr>
          <w:rFonts w:eastAsia="Calibri" w:cs="Times New Roman"/>
          <w:i/>
          <w:iCs/>
          <w:szCs w:val="24"/>
        </w:rPr>
        <w:t xml:space="preserve">But see </w:t>
      </w:r>
      <w:r w:rsidRPr="00842D3D">
        <w:rPr>
          <w:rFonts w:eastAsia="Calibri" w:cs="Times New Roman"/>
          <w:szCs w:val="24"/>
        </w:rPr>
        <w:t xml:space="preserve">Instruction 9.7 (Section 1983 Claim Against Local Governing Body Defendants Based on Ratification—Elements and Burden of Proof) (addressing ratification and causation). “[A] municipality cannot be held liable under §1983 on a </w:t>
      </w:r>
      <w:r w:rsidRPr="00842D3D">
        <w:rPr>
          <w:rFonts w:eastAsia="Calibri" w:cs="Times New Roman"/>
          <w:i/>
          <w:iCs/>
          <w:szCs w:val="24"/>
        </w:rPr>
        <w:t>respondeat superior</w:t>
      </w:r>
      <w:r w:rsidRPr="00842D3D">
        <w:rPr>
          <w:rFonts w:eastAsia="Calibri" w:cs="Times New Roman"/>
          <w:szCs w:val="24"/>
        </w:rPr>
        <w:t xml:space="preserve"> theory.” </w:t>
      </w:r>
      <w:r w:rsidRPr="00842D3D">
        <w:rPr>
          <w:rFonts w:eastAsia="Calibri" w:cs="Times New Roman"/>
          <w:i/>
          <w:iCs/>
          <w:szCs w:val="24"/>
        </w:rPr>
        <w:t>Monell</w:t>
      </w:r>
      <w:r w:rsidRPr="00842D3D">
        <w:rPr>
          <w:rFonts w:eastAsia="Calibri" w:cs="Times New Roman"/>
          <w:szCs w:val="24"/>
        </w:rPr>
        <w:t xml:space="preserve">, 436 U.S. at 691. </w:t>
      </w:r>
    </w:p>
    <w:p w14:paraId="5A5AB4A5" w14:textId="77777777" w:rsidR="00212415" w:rsidRPr="00842D3D" w:rsidRDefault="00212415" w:rsidP="00212415">
      <w:pPr>
        <w:autoSpaceDE w:val="0"/>
        <w:autoSpaceDN w:val="0"/>
        <w:adjustRightInd w:val="0"/>
        <w:rPr>
          <w:rFonts w:eastAsia="Calibri" w:cs="Times New Roman"/>
          <w:szCs w:val="24"/>
        </w:rPr>
      </w:pPr>
    </w:p>
    <w:p w14:paraId="64D11347" w14:textId="77777777" w:rsidR="00212415" w:rsidRPr="00842D3D" w:rsidRDefault="00212415" w:rsidP="00212415">
      <w:pPr>
        <w:autoSpaceDE w:val="0"/>
        <w:autoSpaceDN w:val="0"/>
        <w:adjustRightInd w:val="0"/>
        <w:rPr>
          <w:rFonts w:eastAsia="Calibri" w:cs="Times New Roman"/>
          <w:szCs w:val="24"/>
        </w:rPr>
      </w:pPr>
      <w:r w:rsidRPr="00842D3D">
        <w:rPr>
          <w:rFonts w:eastAsia="Calibri" w:cs="Times New Roman"/>
          <w:szCs w:val="24"/>
        </w:rPr>
        <w:tab/>
        <w:t xml:space="preserve">A local governing body defendant, such as a school district or municipality, is not entitled to qualified immunity. </w:t>
      </w:r>
      <w:r w:rsidRPr="00842D3D">
        <w:rPr>
          <w:rFonts w:eastAsia="Calibri" w:cs="Times New Roman"/>
          <w:i/>
          <w:iCs/>
          <w:szCs w:val="24"/>
        </w:rPr>
        <w:t>See Owen v. Independence</w:t>
      </w:r>
      <w:r w:rsidRPr="00842D3D">
        <w:rPr>
          <w:rFonts w:eastAsia="Calibri" w:cs="Times New Roman"/>
          <w:szCs w:val="24"/>
        </w:rPr>
        <w:t>, 445 U.S. 622, 638 (1980) (holding that “municipality may not assert the good faith of its officers or agents as a defense to liability under § 1983”).</w:t>
      </w:r>
    </w:p>
    <w:p w14:paraId="43DD75DE" w14:textId="77777777" w:rsidR="00212415" w:rsidRPr="00842D3D" w:rsidRDefault="00212415" w:rsidP="00212415">
      <w:pPr>
        <w:autoSpaceDE w:val="0"/>
        <w:autoSpaceDN w:val="0"/>
        <w:adjustRightInd w:val="0"/>
        <w:rPr>
          <w:rFonts w:eastAsia="Calibri" w:cs="Times New Roman"/>
          <w:szCs w:val="24"/>
        </w:rPr>
      </w:pPr>
    </w:p>
    <w:p w14:paraId="21FF8EC8" w14:textId="77777777" w:rsidR="00212415" w:rsidRPr="00842D3D" w:rsidRDefault="00212415" w:rsidP="00212415">
      <w:pPr>
        <w:autoSpaceDE w:val="0"/>
        <w:autoSpaceDN w:val="0"/>
        <w:adjustRightInd w:val="0"/>
        <w:rPr>
          <w:rFonts w:eastAsia="Calibri" w:cs="Times New Roman"/>
          <w:szCs w:val="24"/>
        </w:rPr>
      </w:pPr>
      <w:r w:rsidRPr="00842D3D">
        <w:rPr>
          <w:rFonts w:eastAsia="Calibri" w:cs="Times New Roman"/>
          <w:szCs w:val="24"/>
        </w:rPr>
        <w:tab/>
        <w:t xml:space="preserve">“The ‘official policy’ requirement ‘was intended to distinguish acts of the </w:t>
      </w:r>
      <w:r w:rsidRPr="00842D3D">
        <w:rPr>
          <w:rFonts w:eastAsia="Calibri" w:cs="Times New Roman"/>
          <w:i/>
          <w:iCs/>
          <w:szCs w:val="24"/>
        </w:rPr>
        <w:t>municipality</w:t>
      </w:r>
      <w:r w:rsidRPr="00842D3D">
        <w:rPr>
          <w:rFonts w:eastAsia="Calibri" w:cs="Times New Roman"/>
          <w:szCs w:val="24"/>
        </w:rPr>
        <w:t xml:space="preserve"> from acts of </w:t>
      </w:r>
      <w:r w:rsidRPr="00842D3D">
        <w:rPr>
          <w:rFonts w:eastAsia="Calibri" w:cs="Times New Roman"/>
          <w:i/>
          <w:iCs/>
          <w:szCs w:val="24"/>
        </w:rPr>
        <w:t>employees</w:t>
      </w:r>
      <w:r w:rsidRPr="00842D3D">
        <w:rPr>
          <w:rFonts w:eastAsia="Calibri" w:cs="Times New Roman"/>
          <w:szCs w:val="24"/>
        </w:rPr>
        <w:t xml:space="preserve"> of the municipality,’ and thereby make clear that municipal liability is limited to action for which the municipality is actually responsible.” </w:t>
      </w:r>
      <w:r w:rsidRPr="00842D3D">
        <w:rPr>
          <w:rFonts w:eastAsia="Calibri" w:cs="Times New Roman"/>
          <w:i/>
          <w:iCs/>
          <w:szCs w:val="24"/>
        </w:rPr>
        <w:t>Pembaur v. City of Cincinnati</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475 U.S. 469, 479 (1986) (emphasis in original). Because there are several ways to establish “</w:t>
      </w:r>
      <w:r w:rsidRPr="00842D3D">
        <w:rPr>
          <w:rFonts w:eastAsia="Calibri" w:cs="Times New Roman"/>
          <w:i/>
          <w:iCs/>
          <w:szCs w:val="24"/>
        </w:rPr>
        <w:t>Monell</w:t>
      </w:r>
      <w:r w:rsidRPr="00842D3D">
        <w:rPr>
          <w:rFonts w:eastAsia="Calibri" w:cs="Times New Roman"/>
          <w:szCs w:val="24"/>
        </w:rPr>
        <w:t xml:space="preserve"> liability,” </w:t>
      </w:r>
      <w:r w:rsidRPr="00842D3D">
        <w:rPr>
          <w:rFonts w:eastAsia="Calibri" w:cs="Times New Roman"/>
          <w:i/>
          <w:iCs/>
          <w:szCs w:val="24"/>
        </w:rPr>
        <w:t>see Christie v. Iopa</w:t>
      </w:r>
      <w:r w:rsidRPr="00842D3D">
        <w:rPr>
          <w:rFonts w:eastAsia="Calibri" w:cs="Times New Roman"/>
          <w:szCs w:val="24"/>
        </w:rPr>
        <w:t xml:space="preserve">, 176 F.3d 1231, 1235 (9th Cir. 1999); </w:t>
      </w:r>
      <w:r w:rsidRPr="00842D3D">
        <w:rPr>
          <w:rFonts w:eastAsia="Calibri" w:cs="Times New Roman"/>
          <w:i/>
          <w:iCs/>
          <w:szCs w:val="24"/>
        </w:rPr>
        <w:t>Webb v. Sloan</w:t>
      </w:r>
      <w:r w:rsidRPr="00842D3D">
        <w:rPr>
          <w:rFonts w:eastAsia="Calibri" w:cs="Times New Roman"/>
          <w:szCs w:val="24"/>
        </w:rPr>
        <w:t>, 330 F.3d 1158, 1164 (9th Cir. 2003), the Committee also includes in this chapter separate elements instructions for several bases of such liability (Instructions 9.5, 9.6, 9.7, and 9.8).</w:t>
      </w:r>
    </w:p>
    <w:p w14:paraId="64154CEB" w14:textId="77777777" w:rsidR="00212415" w:rsidRPr="00842D3D" w:rsidRDefault="00212415" w:rsidP="00212415">
      <w:pPr>
        <w:autoSpaceDE w:val="0"/>
        <w:autoSpaceDN w:val="0"/>
        <w:adjustRightInd w:val="0"/>
        <w:rPr>
          <w:rFonts w:eastAsia="Calibri" w:cs="Times New Roman"/>
          <w:szCs w:val="24"/>
        </w:rPr>
      </w:pPr>
    </w:p>
    <w:p w14:paraId="2034D167" w14:textId="77777777" w:rsidR="00212415" w:rsidRPr="00842D3D" w:rsidRDefault="00212415" w:rsidP="00212415">
      <w:pPr>
        <w:rPr>
          <w:rFonts w:eastAsia="Calibri" w:cs="Times New Roman"/>
          <w:b/>
          <w:bCs/>
          <w:szCs w:val="24"/>
        </w:rPr>
      </w:pPr>
      <w:r w:rsidRPr="00842D3D">
        <w:rPr>
          <w:rFonts w:eastAsia="Calibri" w:cs="Times New Roman"/>
          <w:b/>
          <w:bCs/>
          <w:szCs w:val="24"/>
        </w:rPr>
        <w:t>Good-Faith Defense</w:t>
      </w:r>
    </w:p>
    <w:p w14:paraId="255223D4" w14:textId="77777777" w:rsidR="00212415" w:rsidRPr="00842D3D" w:rsidRDefault="00212415" w:rsidP="00212415">
      <w:pPr>
        <w:rPr>
          <w:rFonts w:eastAsia="Calibri" w:cs="Times New Roman"/>
          <w:szCs w:val="24"/>
        </w:rPr>
      </w:pPr>
    </w:p>
    <w:p w14:paraId="5B353376" w14:textId="77777777" w:rsidR="00212415" w:rsidRPr="00842D3D" w:rsidRDefault="00212415" w:rsidP="00212415">
      <w:pPr>
        <w:ind w:firstLine="720"/>
        <w:rPr>
          <w:rFonts w:eastAsia="Calibri" w:cs="Times New Roman"/>
          <w:szCs w:val="24"/>
        </w:rPr>
      </w:pPr>
      <w:r w:rsidRPr="00842D3D">
        <w:rPr>
          <w:rFonts w:eastAsia="Calibri" w:cs="Times New Roman"/>
          <w:szCs w:val="24"/>
        </w:rPr>
        <w:t xml:space="preserve">Private parties and local governments “may invoke a good faith defense to liability under section 1983.” </w:t>
      </w:r>
      <w:r w:rsidRPr="00842D3D">
        <w:rPr>
          <w:rFonts w:eastAsia="Calibri" w:cs="Times New Roman"/>
          <w:i/>
          <w:iCs/>
          <w:szCs w:val="24"/>
        </w:rPr>
        <w:t>Danielson v. Inslee</w:t>
      </w:r>
      <w:r w:rsidRPr="00842D3D">
        <w:rPr>
          <w:rFonts w:eastAsia="Calibri" w:cs="Times New Roman"/>
          <w:szCs w:val="24"/>
        </w:rPr>
        <w:t xml:space="preserve">, 945 F.3d 1096, 1097 (9th Cir. 2019) (citing </w:t>
      </w:r>
      <w:r w:rsidRPr="00842D3D">
        <w:rPr>
          <w:rFonts w:eastAsia="Calibri" w:cs="Times New Roman"/>
          <w:i/>
          <w:iCs/>
          <w:szCs w:val="24"/>
        </w:rPr>
        <w:t>Clement v. City of Glendale</w:t>
      </w:r>
      <w:r w:rsidRPr="00842D3D">
        <w:rPr>
          <w:rFonts w:eastAsia="Calibri" w:cs="Times New Roman"/>
          <w:szCs w:val="24"/>
        </w:rPr>
        <w:t xml:space="preserve">, 518 F.3d 1090, 1096-97 (9th Cir. 2008)); </w:t>
      </w:r>
      <w:r w:rsidRPr="00842D3D">
        <w:rPr>
          <w:rFonts w:eastAsia="Calibri" w:cs="Times New Roman"/>
          <w:i/>
          <w:iCs/>
          <w:szCs w:val="24"/>
        </w:rPr>
        <w:t>see Allen v. Santa Clara Cnty. Corr. Peace Officers Ass’n</w:t>
      </w:r>
      <w:r w:rsidRPr="00842D3D">
        <w:rPr>
          <w:rFonts w:eastAsia="Calibri" w:cs="Times New Roman"/>
          <w:szCs w:val="24"/>
        </w:rPr>
        <w:t xml:space="preserve">, 38 F.4th 68, 71 (9th Cir. 2022) (holding that municipalities may also be entitled to a good faith defense). </w:t>
      </w:r>
    </w:p>
    <w:p w14:paraId="23041F98" w14:textId="77777777" w:rsidR="00212415" w:rsidRPr="00842D3D" w:rsidRDefault="00212415" w:rsidP="00212415">
      <w:pPr>
        <w:ind w:firstLine="720"/>
        <w:rPr>
          <w:rFonts w:eastAsia="Calibri" w:cs="Times New Roman"/>
          <w:szCs w:val="24"/>
        </w:rPr>
      </w:pPr>
    </w:p>
    <w:p w14:paraId="703CC902" w14:textId="77777777" w:rsidR="00212415" w:rsidRPr="00842D3D" w:rsidRDefault="00212415" w:rsidP="00212415">
      <w:pPr>
        <w:ind w:firstLine="720"/>
        <w:rPr>
          <w:rFonts w:eastAsia="Calibri" w:cs="Times New Roman"/>
          <w:szCs w:val="24"/>
        </w:rPr>
      </w:pPr>
      <w:r w:rsidRPr="00842D3D">
        <w:rPr>
          <w:rFonts w:eastAsia="Calibri" w:cs="Times New Roman"/>
          <w:szCs w:val="24"/>
        </w:rPr>
        <w:t xml:space="preserve">Specifically, both private parties and local governments “may invoke an affirmative defense of good faith to retrospective monetary liability under 42 U.S.C. § 1983, where they acted in direct reliance on then-binding Supreme Court precedent and </w:t>
      </w:r>
      <w:proofErr w:type="gramStart"/>
      <w:r w:rsidRPr="00842D3D">
        <w:rPr>
          <w:rFonts w:eastAsia="Calibri" w:cs="Times New Roman"/>
          <w:szCs w:val="24"/>
        </w:rPr>
        <w:t>presumptively-valid</w:t>
      </w:r>
      <w:proofErr w:type="gramEnd"/>
      <w:r w:rsidRPr="00842D3D">
        <w:rPr>
          <w:rFonts w:eastAsia="Calibri" w:cs="Times New Roman"/>
          <w:szCs w:val="24"/>
        </w:rPr>
        <w:t xml:space="preserve"> state law.” </w:t>
      </w:r>
      <w:r w:rsidRPr="00842D3D">
        <w:rPr>
          <w:rFonts w:eastAsia="Calibri" w:cs="Times New Roman"/>
          <w:i/>
          <w:iCs/>
          <w:szCs w:val="24"/>
        </w:rPr>
        <w:t>Danielson</w:t>
      </w:r>
      <w:r w:rsidRPr="00842D3D">
        <w:rPr>
          <w:rFonts w:eastAsia="Calibri" w:cs="Times New Roman"/>
          <w:szCs w:val="24"/>
        </w:rPr>
        <w:t xml:space="preserve">, 945 F.3d at 1097 (holding that public-sector unions could rely on good-faith defense to avoid liability for unlawful fees collected when binding precedent authorized such fees); </w:t>
      </w:r>
      <w:r w:rsidRPr="00842D3D">
        <w:rPr>
          <w:rFonts w:eastAsia="Calibri" w:cs="Times New Roman"/>
          <w:i/>
          <w:iCs/>
          <w:szCs w:val="24"/>
        </w:rPr>
        <w:t>see Allen</w:t>
      </w:r>
      <w:r w:rsidRPr="00842D3D">
        <w:rPr>
          <w:rFonts w:eastAsia="Calibri" w:cs="Times New Roman"/>
          <w:szCs w:val="24"/>
        </w:rPr>
        <w:t>, 38 F.4th at 75 (holding that county which assisted public-sector union’s efforts to collect unlawful fees could rely on same good-faith defense).</w:t>
      </w:r>
    </w:p>
    <w:p w14:paraId="66F833CE" w14:textId="77777777" w:rsidR="00212415" w:rsidRPr="00842D3D" w:rsidRDefault="00212415" w:rsidP="00212415">
      <w:pPr>
        <w:rPr>
          <w:rFonts w:eastAsia="Calibri" w:cs="Times New Roman"/>
          <w:szCs w:val="24"/>
        </w:rPr>
      </w:pPr>
    </w:p>
    <w:p w14:paraId="5AE85D32" w14:textId="77777777" w:rsidR="00212415" w:rsidRPr="00842D3D" w:rsidRDefault="00212415" w:rsidP="00212415">
      <w:pPr>
        <w:ind w:firstLine="720"/>
        <w:rPr>
          <w:rFonts w:eastAsia="Calibri" w:cs="Times New Roman"/>
          <w:szCs w:val="24"/>
        </w:rPr>
      </w:pPr>
      <w:r w:rsidRPr="00842D3D">
        <w:rPr>
          <w:rFonts w:eastAsia="Calibri" w:cs="Times New Roman"/>
          <w:szCs w:val="24"/>
        </w:rPr>
        <w:t xml:space="preserve">A private party that acted upon the instructions of a local police department may also invoke a good faith defense. </w:t>
      </w:r>
      <w:r w:rsidRPr="00842D3D">
        <w:rPr>
          <w:rFonts w:eastAsia="Calibri" w:cs="Times New Roman"/>
          <w:i/>
          <w:iCs/>
          <w:szCs w:val="24"/>
        </w:rPr>
        <w:t>Clement</w:t>
      </w:r>
      <w:r w:rsidRPr="00842D3D">
        <w:rPr>
          <w:rFonts w:eastAsia="Calibri" w:cs="Times New Roman"/>
          <w:szCs w:val="24"/>
        </w:rPr>
        <w:t>, 518 F.3d at 1096-97 (holding that a towing company that relied on a police officer’s authorization, towed vehicle under close police supervision, and did its best to follow the law could rely on a good-faith defense to liability even though the police officer’s decision to tow vehicle violated plaintiff’s due process rights).</w:t>
      </w:r>
    </w:p>
    <w:p w14:paraId="1F4C2E91" w14:textId="77777777" w:rsidR="00212415" w:rsidRPr="00842D3D" w:rsidRDefault="00212415" w:rsidP="00212415">
      <w:pPr>
        <w:autoSpaceDE w:val="0"/>
        <w:autoSpaceDN w:val="0"/>
        <w:adjustRightInd w:val="0"/>
        <w:ind w:left="4320" w:hanging="4320"/>
        <w:rPr>
          <w:rFonts w:eastAsia="Calibri" w:cs="Times New Roman"/>
          <w:b/>
          <w:bCs/>
          <w:szCs w:val="24"/>
        </w:rPr>
      </w:pPr>
    </w:p>
    <w:p w14:paraId="48A33DA0" w14:textId="77777777" w:rsidR="00212415" w:rsidRPr="00842D3D" w:rsidRDefault="00212415" w:rsidP="00212415">
      <w:pPr>
        <w:autoSpaceDE w:val="0"/>
        <w:autoSpaceDN w:val="0"/>
        <w:adjustRightInd w:val="0"/>
        <w:ind w:left="4320" w:hanging="4320"/>
        <w:rPr>
          <w:rFonts w:eastAsia="Calibri" w:cs="Times New Roman"/>
          <w:szCs w:val="24"/>
        </w:rPr>
      </w:pPr>
      <w:r w:rsidRPr="00842D3D">
        <w:rPr>
          <w:rFonts w:eastAsia="Calibri" w:cs="Times New Roman"/>
          <w:b/>
          <w:bCs/>
          <w:szCs w:val="24"/>
        </w:rPr>
        <w:t>Eleventh Amendment Immunity</w:t>
      </w:r>
    </w:p>
    <w:p w14:paraId="398011DF" w14:textId="77777777" w:rsidR="00212415" w:rsidRPr="00842D3D" w:rsidRDefault="00212415" w:rsidP="00212415">
      <w:pPr>
        <w:autoSpaceDE w:val="0"/>
        <w:autoSpaceDN w:val="0"/>
        <w:adjustRightInd w:val="0"/>
        <w:rPr>
          <w:rFonts w:eastAsia="Calibri" w:cs="Times New Roman"/>
          <w:szCs w:val="24"/>
        </w:rPr>
      </w:pPr>
    </w:p>
    <w:p w14:paraId="013A5D53" w14:textId="77777777" w:rsidR="00212415" w:rsidRPr="00842D3D" w:rsidRDefault="00212415" w:rsidP="00212415">
      <w:pPr>
        <w:autoSpaceDE w:val="0"/>
        <w:autoSpaceDN w:val="0"/>
        <w:adjustRightInd w:val="0"/>
        <w:rPr>
          <w:rFonts w:eastAsia="Calibri" w:cs="Times New Roman"/>
          <w:szCs w:val="24"/>
        </w:rPr>
      </w:pPr>
      <w:r w:rsidRPr="00842D3D">
        <w:rPr>
          <w:rFonts w:eastAsia="Calibri" w:cs="Times New Roman"/>
          <w:szCs w:val="24"/>
        </w:rPr>
        <w:tab/>
        <w:t>Despite the language of § 1983, “every person” does not have a universal scope; it does</w:t>
      </w:r>
    </w:p>
    <w:p w14:paraId="371AED4E" w14:textId="77777777" w:rsidR="00212415" w:rsidRPr="00842D3D" w:rsidRDefault="00212415" w:rsidP="00212415">
      <w:pPr>
        <w:autoSpaceDE w:val="0"/>
        <w:autoSpaceDN w:val="0"/>
        <w:adjustRightInd w:val="0"/>
        <w:rPr>
          <w:rFonts w:eastAsia="Calibri" w:cs="Times New Roman"/>
          <w:szCs w:val="24"/>
        </w:rPr>
      </w:pPr>
      <w:r w:rsidRPr="00842D3D">
        <w:rPr>
          <w:rFonts w:eastAsia="Calibri" w:cs="Times New Roman"/>
          <w:szCs w:val="24"/>
        </w:rPr>
        <w:t>not encompass claims against a state or a state agency because the Eleventh Amendment bars</w:t>
      </w:r>
    </w:p>
    <w:p w14:paraId="1F0E8D00" w14:textId="77777777" w:rsidR="00212415" w:rsidRPr="00842D3D" w:rsidRDefault="00212415" w:rsidP="00212415">
      <w:pPr>
        <w:autoSpaceDE w:val="0"/>
        <w:autoSpaceDN w:val="0"/>
        <w:adjustRightInd w:val="0"/>
        <w:rPr>
          <w:rFonts w:eastAsia="Calibri" w:cs="Times New Roman"/>
          <w:szCs w:val="24"/>
        </w:rPr>
      </w:pPr>
      <w:r w:rsidRPr="00842D3D">
        <w:rPr>
          <w:rFonts w:eastAsia="Calibri" w:cs="Times New Roman"/>
          <w:szCs w:val="24"/>
        </w:rPr>
        <w:t xml:space="preserve">such encroachments on a state’s sovereignty. </w:t>
      </w:r>
      <w:r w:rsidRPr="00842D3D">
        <w:rPr>
          <w:rFonts w:eastAsia="Calibri" w:cs="Times New Roman"/>
          <w:i/>
          <w:iCs/>
          <w:szCs w:val="24"/>
        </w:rPr>
        <w:t>Doe v. Lawrence Livermore Nat’l Lab</w:t>
      </w:r>
      <w:r w:rsidRPr="00842D3D">
        <w:rPr>
          <w:rFonts w:eastAsia="Calibri" w:cs="Times New Roman"/>
          <w:szCs w:val="24"/>
        </w:rPr>
        <w:t>., 131 F.3d</w:t>
      </w:r>
    </w:p>
    <w:p w14:paraId="0C43F8C4" w14:textId="77777777" w:rsidR="00212415" w:rsidRPr="00842D3D" w:rsidRDefault="00212415" w:rsidP="00212415">
      <w:pPr>
        <w:autoSpaceDE w:val="0"/>
        <w:autoSpaceDN w:val="0"/>
        <w:adjustRightInd w:val="0"/>
        <w:rPr>
          <w:rFonts w:eastAsia="Calibri" w:cs="Times New Roman"/>
          <w:szCs w:val="24"/>
        </w:rPr>
      </w:pPr>
      <w:r w:rsidRPr="00842D3D">
        <w:rPr>
          <w:rFonts w:eastAsia="Calibri" w:cs="Times New Roman"/>
          <w:szCs w:val="24"/>
        </w:rPr>
        <w:t xml:space="preserve">836, 839 (9th Cir. 1997) (“States or governmental entities that are considered ‘arms of the State’ for Eleventh Amendment purposes are not ‘persons’ under § 1983,” quoting </w:t>
      </w:r>
      <w:r w:rsidRPr="00842D3D">
        <w:rPr>
          <w:rFonts w:eastAsia="Calibri" w:cs="Times New Roman"/>
          <w:i/>
          <w:iCs/>
          <w:szCs w:val="24"/>
        </w:rPr>
        <w:t>Will v. Mich. Dep’t of State Police</w:t>
      </w:r>
      <w:r w:rsidRPr="00842D3D">
        <w:rPr>
          <w:rFonts w:eastAsia="Calibri" w:cs="Times New Roman"/>
          <w:szCs w:val="24"/>
        </w:rPr>
        <w:t>, 491 U.S. 58, 70 (1989)). Even if a plaintiff seeks only injunctive relief, a state</w:t>
      </w:r>
    </w:p>
    <w:p w14:paraId="26AB40C9" w14:textId="77777777" w:rsidR="00212415" w:rsidRPr="00842D3D" w:rsidRDefault="00212415" w:rsidP="00212415">
      <w:pPr>
        <w:autoSpaceDE w:val="0"/>
        <w:autoSpaceDN w:val="0"/>
        <w:adjustRightInd w:val="0"/>
        <w:rPr>
          <w:rFonts w:eastAsia="Calibri" w:cs="Times New Roman"/>
          <w:szCs w:val="24"/>
        </w:rPr>
      </w:pPr>
      <w:r w:rsidRPr="00842D3D">
        <w:rPr>
          <w:rFonts w:eastAsia="Calibri" w:cs="Times New Roman"/>
          <w:szCs w:val="24"/>
        </w:rPr>
        <w:t xml:space="preserve">that has not waived its Eleventh Amendment immunity cannot be sued in its own name under § 1983. </w:t>
      </w:r>
      <w:r w:rsidRPr="00842D3D">
        <w:rPr>
          <w:rFonts w:eastAsia="Calibri" w:cs="Times New Roman"/>
          <w:i/>
          <w:iCs/>
          <w:szCs w:val="24"/>
        </w:rPr>
        <w:t>Will</w:t>
      </w:r>
      <w:r w:rsidRPr="00842D3D">
        <w:rPr>
          <w:rFonts w:eastAsia="Calibri" w:cs="Times New Roman"/>
          <w:szCs w:val="24"/>
        </w:rPr>
        <w:t>, 491 U.S. at 64, 71, n.10.</w:t>
      </w:r>
    </w:p>
    <w:p w14:paraId="12E120BC" w14:textId="77777777" w:rsidR="00212415" w:rsidRPr="00842D3D" w:rsidRDefault="00212415" w:rsidP="00212415">
      <w:pPr>
        <w:autoSpaceDE w:val="0"/>
        <w:autoSpaceDN w:val="0"/>
        <w:adjustRightInd w:val="0"/>
        <w:rPr>
          <w:rFonts w:eastAsia="Calibri" w:cs="Times New Roman"/>
          <w:szCs w:val="24"/>
        </w:rPr>
      </w:pPr>
    </w:p>
    <w:p w14:paraId="61B18B3C" w14:textId="77777777" w:rsidR="00212415" w:rsidRPr="00842D3D" w:rsidRDefault="00212415" w:rsidP="00212415">
      <w:pPr>
        <w:autoSpaceDE w:val="0"/>
        <w:autoSpaceDN w:val="0"/>
        <w:adjustRightInd w:val="0"/>
        <w:ind w:firstLine="720"/>
        <w:rPr>
          <w:rFonts w:eastAsia="Calibri" w:cs="Times New Roman"/>
          <w:szCs w:val="24"/>
        </w:rPr>
      </w:pPr>
      <w:r w:rsidRPr="00842D3D">
        <w:rPr>
          <w:rFonts w:eastAsia="Calibri" w:cs="Times New Roman"/>
          <w:szCs w:val="24"/>
        </w:rPr>
        <w:t xml:space="preserve">The Ninth Circuit applies a three-factor test to determine whether a government entity is a state agency for Eleventh Amendment purposes: (1) what is the state’s intent as to the status of the entity, including the functions performed by the entity; (2) what is the state’s control over the entity; and (3) what is the entity’s overall effects on the state treasury. </w:t>
      </w:r>
      <w:r w:rsidRPr="00842D3D">
        <w:rPr>
          <w:rFonts w:eastAsia="Calibri" w:cs="Times New Roman"/>
          <w:i/>
          <w:iCs/>
          <w:szCs w:val="24"/>
        </w:rPr>
        <w:t>Kohn v. State Bar of California,</w:t>
      </w:r>
      <w:r w:rsidRPr="00842D3D">
        <w:rPr>
          <w:rFonts w:eastAsia="Calibri" w:cs="Times New Roman"/>
          <w:szCs w:val="24"/>
        </w:rPr>
        <w:t xml:space="preserve"> 87 F.4th 1021, 1031 (9th Cir. 2023) (en banc) (adopting the D.C. Circuit’s three-factor test). The inquiry is an entity-based approach; the status of an entity does not change from one case to the next based on the nature of the suit. Waiver and abrogation are “second-stage inquiries as to whether, </w:t>
      </w:r>
      <w:r w:rsidRPr="00842D3D">
        <w:rPr>
          <w:rFonts w:eastAsia="Calibri" w:cs="Times New Roman"/>
          <w:i/>
          <w:iCs/>
          <w:szCs w:val="24"/>
        </w:rPr>
        <w:t>if</w:t>
      </w:r>
      <w:r w:rsidRPr="00842D3D">
        <w:rPr>
          <w:rFonts w:eastAsia="Calibri" w:cs="Times New Roman"/>
          <w:szCs w:val="24"/>
        </w:rPr>
        <w:t xml:space="preserve"> an entity is immune, that immunity may be overcome.” </w:t>
      </w:r>
      <w:r w:rsidRPr="00842D3D">
        <w:rPr>
          <w:rFonts w:eastAsia="Calibri" w:cs="Times New Roman"/>
          <w:i/>
          <w:iCs/>
          <w:szCs w:val="24"/>
        </w:rPr>
        <w:t>Id</w:t>
      </w:r>
      <w:r w:rsidRPr="00842D3D">
        <w:rPr>
          <w:rFonts w:eastAsia="Calibri" w:cs="Times New Roman"/>
          <w:szCs w:val="24"/>
        </w:rPr>
        <w:t xml:space="preserve">. (emphasis in original) (citations omitted); </w:t>
      </w:r>
      <w:r w:rsidRPr="00842D3D">
        <w:rPr>
          <w:rFonts w:eastAsia="Calibri" w:cs="Times New Roman"/>
          <w:i/>
          <w:iCs/>
          <w:szCs w:val="24"/>
        </w:rPr>
        <w:t>see also Kohn v. State Bar of California</w:t>
      </w:r>
      <w:r w:rsidRPr="00842D3D">
        <w:rPr>
          <w:rFonts w:eastAsia="Calibri" w:cs="Times New Roman"/>
          <w:szCs w:val="24"/>
        </w:rPr>
        <w:t>, 119 F.4th 693, 696 (9th Cir. 2024) (discussing the three-part inquiry for the abrogation analysis of Title II ADA claims).</w:t>
      </w:r>
    </w:p>
    <w:p w14:paraId="73376CD0" w14:textId="77777777" w:rsidR="00212415" w:rsidRPr="00842D3D" w:rsidRDefault="00212415" w:rsidP="00212415">
      <w:pPr>
        <w:autoSpaceDE w:val="0"/>
        <w:autoSpaceDN w:val="0"/>
        <w:adjustRightInd w:val="0"/>
        <w:rPr>
          <w:rFonts w:eastAsia="Calibri" w:cs="Times New Roman"/>
          <w:szCs w:val="24"/>
        </w:rPr>
      </w:pPr>
    </w:p>
    <w:p w14:paraId="3056569C" w14:textId="77777777" w:rsidR="00212415" w:rsidRPr="00842D3D" w:rsidRDefault="00212415" w:rsidP="00212415">
      <w:pPr>
        <w:autoSpaceDE w:val="0"/>
        <w:autoSpaceDN w:val="0"/>
        <w:adjustRightInd w:val="0"/>
        <w:rPr>
          <w:rFonts w:eastAsia="Calibri" w:cs="Times New Roman"/>
          <w:szCs w:val="24"/>
        </w:rPr>
      </w:pPr>
      <w:r w:rsidRPr="00842D3D">
        <w:rPr>
          <w:rFonts w:eastAsia="Calibri" w:cs="Times New Roman"/>
          <w:szCs w:val="24"/>
        </w:rPr>
        <w:tab/>
        <w:t xml:space="preserve">In contrast to a state or state agency, a state official may be sued in his or her official capacity under § 1983, but only for prospective injunctive relief. This is because “official-capacity actions for prospective relief are not treated as actions against the State.” </w:t>
      </w:r>
      <w:r w:rsidRPr="00842D3D">
        <w:rPr>
          <w:rFonts w:eastAsia="Calibri" w:cs="Times New Roman"/>
          <w:i/>
          <w:iCs/>
          <w:szCs w:val="24"/>
        </w:rPr>
        <w:t>Will</w:t>
      </w:r>
      <w:r w:rsidRPr="00842D3D">
        <w:rPr>
          <w:rFonts w:eastAsia="Calibri" w:cs="Times New Roman"/>
          <w:szCs w:val="24"/>
        </w:rPr>
        <w:t xml:space="preserve">, 491 U.S. at 71 n.10. In </w:t>
      </w:r>
      <w:r w:rsidRPr="00842D3D">
        <w:rPr>
          <w:rFonts w:eastAsia="Calibri" w:cs="Times New Roman"/>
          <w:i/>
          <w:iCs/>
          <w:szCs w:val="24"/>
        </w:rPr>
        <w:t>Matsumoto v. Labrador</w:t>
      </w:r>
      <w:r w:rsidRPr="00842D3D">
        <w:rPr>
          <w:rFonts w:eastAsia="Calibri" w:cs="Times New Roman"/>
          <w:szCs w:val="24"/>
        </w:rPr>
        <w:t>, 122 F.4th 787, 802 (9th Cir. 2024), the court held that a p</w:t>
      </w:r>
      <w:r w:rsidRPr="00842D3D">
        <w:rPr>
          <w:rFonts w:eastAsia="Calibri" w:cs="Times New Roman"/>
          <w:bCs/>
          <w:szCs w:val="24"/>
        </w:rPr>
        <w:t>re-enforcement action brought by abortion rights advocacy organizations against the Idaho attorney general fell within an exception to </w:t>
      </w:r>
      <w:r w:rsidRPr="00842D3D">
        <w:rPr>
          <w:rFonts w:eastAsia="Calibri" w:cs="Times New Roman"/>
          <w:bCs/>
          <w:i/>
          <w:iCs/>
          <w:szCs w:val="24"/>
        </w:rPr>
        <w:t>Ex parte Young</w:t>
      </w:r>
      <w:r w:rsidRPr="00842D3D">
        <w:rPr>
          <w:rFonts w:eastAsia="Calibri" w:cs="Times New Roman"/>
          <w:bCs/>
          <w:szCs w:val="24"/>
        </w:rPr>
        <w:t xml:space="preserve"> for the state’s Eleventh Amendment immunity, which allows “actions for prospective declaratory or injunctive relief against state officers in their official capacities” provided that the officer has “some connection with the enforcement of the act.” The attorney general had “some connection” to the enforcement because </w:t>
      </w:r>
      <w:r w:rsidRPr="00842D3D">
        <w:rPr>
          <w:rFonts w:eastAsia="Calibri" w:cs="Times New Roman"/>
          <w:bCs/>
          <w:szCs w:val="24"/>
        </w:rPr>
        <w:lastRenderedPageBreak/>
        <w:t xml:space="preserve">the statute specifically granted authority to the attorney general to prosecute “abortion trafficking.” </w:t>
      </w:r>
      <w:r w:rsidRPr="00842D3D">
        <w:rPr>
          <w:rFonts w:eastAsia="Calibri" w:cs="Times New Roman"/>
          <w:bCs/>
          <w:i/>
          <w:iCs/>
          <w:szCs w:val="24"/>
        </w:rPr>
        <w:t>Id.</w:t>
      </w:r>
      <w:r w:rsidRPr="00842D3D">
        <w:rPr>
          <w:rFonts w:eastAsia="Calibri" w:cs="Times New Roman"/>
          <w:bCs/>
          <w:szCs w:val="24"/>
        </w:rPr>
        <w:t xml:space="preserve"> </w:t>
      </w:r>
      <w:r w:rsidRPr="00842D3D">
        <w:rPr>
          <w:rFonts w:eastAsia="Calibri" w:cs="Times New Roman"/>
          <w:bCs/>
          <w:i/>
          <w:iCs/>
          <w:szCs w:val="24"/>
        </w:rPr>
        <w:t>Accord Planned Parenthood Great Nw., Hawaii, Alaska, Indiana, Kentucky v. Labrador</w:t>
      </w:r>
      <w:r w:rsidRPr="00842D3D">
        <w:rPr>
          <w:rFonts w:eastAsia="Calibri" w:cs="Times New Roman"/>
          <w:bCs/>
          <w:szCs w:val="24"/>
        </w:rPr>
        <w:t xml:space="preserve">, 122 F.4th 825, 843 (9th Cir. 2024). </w:t>
      </w:r>
      <w:r w:rsidRPr="00842D3D">
        <w:rPr>
          <w:rFonts w:eastAsia="Calibri" w:cs="Times New Roman"/>
          <w:szCs w:val="24"/>
        </w:rPr>
        <w:t xml:space="preserve">A state official may be sued under § 1983 in his or her individual capacity for damages. </w:t>
      </w:r>
      <w:r w:rsidRPr="00842D3D">
        <w:rPr>
          <w:rFonts w:eastAsia="Calibri" w:cs="Times New Roman"/>
          <w:i/>
          <w:iCs/>
          <w:szCs w:val="24"/>
        </w:rPr>
        <w:t>Kentucky v. Graham</w:t>
      </w:r>
      <w:r w:rsidRPr="00842D3D">
        <w:rPr>
          <w:rFonts w:eastAsia="Calibri" w:cs="Times New Roman"/>
          <w:szCs w:val="24"/>
        </w:rPr>
        <w:t xml:space="preserve">, 473 U.S. 159, 165 (1985); </w:t>
      </w:r>
      <w:r w:rsidRPr="00842D3D">
        <w:rPr>
          <w:rFonts w:eastAsia="Calibri" w:cs="Times New Roman"/>
          <w:i/>
          <w:iCs/>
          <w:szCs w:val="24"/>
        </w:rPr>
        <w:t>but see Avalos v. Baca</w:t>
      </w:r>
      <w:r w:rsidRPr="00842D3D">
        <w:rPr>
          <w:rFonts w:eastAsia="Calibri" w:cs="Times New Roman"/>
          <w:szCs w:val="24"/>
        </w:rPr>
        <w:t>, 596 F.3d 583, 587 (9th Cir. 2010) (holding that in to be individually liable under § 1983, the individual must personally participate in alleged rights deprivation)</w:t>
      </w:r>
      <w:r w:rsidRPr="00842D3D">
        <w:rPr>
          <w:rFonts w:eastAsia="Times New Roman" w:cs="Times New Roman"/>
          <w:i/>
          <w:iCs/>
          <w:szCs w:val="24"/>
        </w:rPr>
        <w:t>.</w:t>
      </w:r>
      <w:r w:rsidRPr="00842D3D">
        <w:rPr>
          <w:rFonts w:eastAsia="Calibri" w:cs="Times New Roman"/>
          <w:i/>
          <w:iCs/>
          <w:szCs w:val="24"/>
        </w:rPr>
        <w:t xml:space="preserve"> K. J. v. Jackson</w:t>
      </w:r>
      <w:r w:rsidRPr="00842D3D">
        <w:rPr>
          <w:rFonts w:eastAsia="Calibri" w:cs="Times New Roman"/>
          <w:szCs w:val="24"/>
        </w:rPr>
        <w:t xml:space="preserve">, 127 F.4th 1239, 1251 (9th Cir. 2025) (holding that the plaintiff could sue a </w:t>
      </w:r>
      <w:proofErr w:type="gramStart"/>
      <w:r w:rsidRPr="00842D3D">
        <w:rPr>
          <w:rFonts w:eastAsia="Calibri" w:cs="Times New Roman"/>
          <w:szCs w:val="24"/>
        </w:rPr>
        <w:t>public school</w:t>
      </w:r>
      <w:proofErr w:type="gramEnd"/>
      <w:r w:rsidRPr="00842D3D">
        <w:rPr>
          <w:rFonts w:eastAsia="Calibri" w:cs="Times New Roman"/>
          <w:szCs w:val="24"/>
        </w:rPr>
        <w:t xml:space="preserve"> superintendent for expungement of information from school records because such expungement was a form of prospective relief that the plaintiff could receive under the </w:t>
      </w:r>
      <w:r w:rsidRPr="00842D3D">
        <w:rPr>
          <w:rFonts w:eastAsia="Calibri" w:cs="Times New Roman"/>
          <w:i/>
          <w:iCs/>
          <w:szCs w:val="24"/>
        </w:rPr>
        <w:t>Ex parte Young</w:t>
      </w:r>
      <w:r w:rsidRPr="00842D3D">
        <w:rPr>
          <w:rFonts w:eastAsia="Calibri" w:cs="Times New Roman"/>
          <w:szCs w:val="24"/>
        </w:rPr>
        <w:t xml:space="preserve"> doctrine). </w:t>
      </w:r>
    </w:p>
    <w:p w14:paraId="7B4559A3" w14:textId="77777777" w:rsidR="00212415" w:rsidRPr="00842D3D" w:rsidRDefault="00212415" w:rsidP="00212415">
      <w:pPr>
        <w:autoSpaceDE w:val="0"/>
        <w:autoSpaceDN w:val="0"/>
        <w:adjustRightInd w:val="0"/>
        <w:rPr>
          <w:rFonts w:eastAsia="Calibri" w:cs="Times New Roman"/>
          <w:szCs w:val="24"/>
        </w:rPr>
      </w:pPr>
    </w:p>
    <w:p w14:paraId="2E8CC08C" w14:textId="77777777" w:rsidR="00212415" w:rsidRPr="00842D3D" w:rsidRDefault="00212415" w:rsidP="00212415">
      <w:pPr>
        <w:autoSpaceDE w:val="0"/>
        <w:autoSpaceDN w:val="0"/>
        <w:adjustRightInd w:val="0"/>
        <w:rPr>
          <w:rFonts w:eastAsia="Calibri" w:cs="Times New Roman"/>
          <w:b/>
          <w:bCs/>
        </w:rPr>
      </w:pPr>
      <w:r w:rsidRPr="00842D3D">
        <w:rPr>
          <w:rFonts w:eastAsia="Calibri" w:cs="Times New Roman"/>
          <w:b/>
          <w:bCs/>
        </w:rPr>
        <w:t>Exhaustion under the Prison Litigation Reform Act</w:t>
      </w:r>
    </w:p>
    <w:p w14:paraId="68C377EC" w14:textId="77777777" w:rsidR="00212415" w:rsidRPr="00842D3D" w:rsidRDefault="00212415" w:rsidP="00212415">
      <w:pPr>
        <w:autoSpaceDE w:val="0"/>
        <w:autoSpaceDN w:val="0"/>
        <w:adjustRightInd w:val="0"/>
        <w:rPr>
          <w:rFonts w:eastAsia="Calibri" w:cs="Times New Roman"/>
        </w:rPr>
      </w:pPr>
    </w:p>
    <w:p w14:paraId="2DDC9A5D" w14:textId="77777777" w:rsidR="00212415" w:rsidRPr="00842D3D" w:rsidRDefault="00212415" w:rsidP="00212415">
      <w:pPr>
        <w:autoSpaceDE w:val="0"/>
        <w:autoSpaceDN w:val="0"/>
        <w:adjustRightInd w:val="0"/>
        <w:ind w:firstLine="720"/>
        <w:rPr>
          <w:rFonts w:eastAsia="Calibri" w:cs="Times New Roman"/>
        </w:rPr>
      </w:pPr>
      <w:r w:rsidRPr="00842D3D">
        <w:rPr>
          <w:rFonts w:eastAsia="Calibri" w:cs="Times New Roman"/>
        </w:rPr>
        <w:t>“The Prison Litigation Reform Act of 1995 (PLRA) requires prisoners with complaints about prison conditions to exhaust available grievance procedures before bringing suit in federal court.” </w:t>
      </w:r>
      <w:r w:rsidRPr="00842D3D">
        <w:rPr>
          <w:rFonts w:eastAsia="Calibri" w:cs="Times New Roman"/>
          <w:i/>
          <w:iCs/>
        </w:rPr>
        <w:t>Perttu v. Richards</w:t>
      </w:r>
      <w:r w:rsidRPr="00842D3D">
        <w:rPr>
          <w:rFonts w:eastAsia="Calibri" w:cs="Times New Roman"/>
        </w:rPr>
        <w:t xml:space="preserve">, 605 U.S. 460, 464 (2025) (citing 42 U.S.C. § 1997e(a)). In </w:t>
      </w:r>
      <w:r w:rsidRPr="00842D3D">
        <w:rPr>
          <w:rFonts w:eastAsia="Calibri" w:cs="Times New Roman"/>
          <w:i/>
          <w:iCs/>
        </w:rPr>
        <w:t>Perttu</w:t>
      </w:r>
      <w:r w:rsidRPr="00842D3D">
        <w:rPr>
          <w:rFonts w:eastAsia="Calibri" w:cs="Times New Roman"/>
        </w:rPr>
        <w:t xml:space="preserve">, Richards, a prisoner in Michigan, alleged that he was sexually abused by Thomas Perttu, a prison employee. </w:t>
      </w:r>
      <w:r w:rsidRPr="00842D3D">
        <w:rPr>
          <w:rFonts w:eastAsia="Calibri" w:cs="Times New Roman"/>
          <w:i/>
          <w:iCs/>
        </w:rPr>
        <w:t>Id.</w:t>
      </w:r>
      <w:r w:rsidRPr="00842D3D">
        <w:rPr>
          <w:rFonts w:eastAsia="Calibri" w:cs="Times New Roman"/>
        </w:rPr>
        <w:t xml:space="preserve"> Richards also alleged that when he tried to file grievances about the abuse, Perttu destroyed them and threatened to kill him if he filed more. </w:t>
      </w:r>
      <w:r w:rsidRPr="00842D3D">
        <w:rPr>
          <w:rFonts w:eastAsia="Calibri" w:cs="Times New Roman"/>
          <w:i/>
          <w:iCs/>
        </w:rPr>
        <w:t>Id.</w:t>
      </w:r>
      <w:r w:rsidRPr="00842D3D">
        <w:rPr>
          <w:rFonts w:eastAsia="Calibri" w:cs="Times New Roman"/>
        </w:rPr>
        <w:t xml:space="preserve"> Richards sued Perttu for violating his First Amendment right to file grievances, and Perttu responded that Richards had failed to exhaust available grievance procedures as required by the PLRA. </w:t>
      </w:r>
      <w:r w:rsidRPr="00842D3D">
        <w:rPr>
          <w:rFonts w:eastAsia="Calibri" w:cs="Times New Roman"/>
          <w:i/>
          <w:iCs/>
        </w:rPr>
        <w:t>Id.</w:t>
      </w:r>
      <w:r w:rsidRPr="00842D3D">
        <w:rPr>
          <w:rFonts w:eastAsia="Calibri" w:cs="Times New Roman"/>
        </w:rPr>
        <w:t xml:space="preserve"> The parties agreed that the exhaustion and First Amendment issues were intertwined, as both depended on whether Perttu did in fact destroy Richards’s grievances and retaliate against him. </w:t>
      </w:r>
      <w:r w:rsidRPr="00842D3D">
        <w:rPr>
          <w:rFonts w:eastAsia="Calibri" w:cs="Times New Roman"/>
          <w:i/>
          <w:iCs/>
        </w:rPr>
        <w:t>Id.</w:t>
      </w:r>
      <w:r w:rsidRPr="00842D3D">
        <w:rPr>
          <w:rFonts w:eastAsia="Calibri" w:cs="Times New Roman"/>
        </w:rPr>
        <w:t xml:space="preserve"> The Supreme Court held that “parties are entitled to a jury trial on PLRA exhaustion when that issue is intertwined with the merits of a claim protected by the Seventh Amendment.” </w:t>
      </w:r>
      <w:r w:rsidRPr="00842D3D">
        <w:rPr>
          <w:rFonts w:eastAsia="Calibri" w:cs="Times New Roman"/>
          <w:i/>
          <w:iCs/>
        </w:rPr>
        <w:t>Id.</w:t>
      </w:r>
      <w:r w:rsidRPr="00842D3D">
        <w:rPr>
          <w:rFonts w:eastAsia="Calibri" w:cs="Times New Roman"/>
        </w:rPr>
        <w:t xml:space="preserve"> </w:t>
      </w:r>
      <w:proofErr w:type="gramStart"/>
      <w:r w:rsidRPr="00842D3D">
        <w:rPr>
          <w:rFonts w:eastAsia="Calibri" w:cs="Times New Roman"/>
        </w:rPr>
        <w:t>at</w:t>
      </w:r>
      <w:proofErr w:type="gramEnd"/>
      <w:r w:rsidRPr="00842D3D">
        <w:rPr>
          <w:rFonts w:eastAsia="Calibri" w:cs="Times New Roman"/>
        </w:rPr>
        <w:t xml:space="preserve"> 1807.</w:t>
      </w:r>
    </w:p>
    <w:p w14:paraId="031A9E68" w14:textId="77777777" w:rsidR="00212415" w:rsidRPr="00842D3D" w:rsidRDefault="00212415" w:rsidP="00212415">
      <w:pPr>
        <w:autoSpaceDE w:val="0"/>
        <w:autoSpaceDN w:val="0"/>
        <w:adjustRightInd w:val="0"/>
        <w:rPr>
          <w:rFonts w:eastAsia="Calibri" w:cs="Times New Roman"/>
          <w:szCs w:val="24"/>
        </w:rPr>
      </w:pPr>
    </w:p>
    <w:p w14:paraId="2F3BAD3C" w14:textId="77777777" w:rsidR="00212415" w:rsidRPr="00842D3D" w:rsidRDefault="00212415" w:rsidP="00212415">
      <w:pPr>
        <w:autoSpaceDE w:val="0"/>
        <w:autoSpaceDN w:val="0"/>
        <w:adjustRightInd w:val="0"/>
        <w:rPr>
          <w:rFonts w:eastAsia="Calibri" w:cs="Times New Roman"/>
          <w:szCs w:val="24"/>
        </w:rPr>
      </w:pPr>
      <w:r w:rsidRPr="00842D3D">
        <w:rPr>
          <w:rFonts w:eastAsia="Calibri" w:cs="Times New Roman"/>
          <w:szCs w:val="24"/>
        </w:rPr>
        <w:tab/>
        <w:t xml:space="preserve">The Committee also recommends the Section 1983 Outline prepared by the Office of Staff Attorneys, United States Court of Appeals for the Ninth Circuit, available at: </w:t>
      </w:r>
      <w:hyperlink r:id="rId4" w:history="1">
        <w:r w:rsidRPr="00842D3D">
          <w:rPr>
            <w:rFonts w:eastAsia="Calibri" w:cs="Times New Roman"/>
            <w:color w:val="0563C1"/>
            <w:u w:val="single"/>
          </w:rPr>
          <w:t>https://www.ca9.uscourts.gov/guides/section-1983-outline/</w:t>
        </w:r>
      </w:hyperlink>
      <w:r w:rsidRPr="00842D3D">
        <w:rPr>
          <w:rFonts w:eastAsia="Calibri" w:cs="Times New Roman"/>
          <w:szCs w:val="24"/>
        </w:rPr>
        <w:t xml:space="preserve"> or </w:t>
      </w:r>
      <w:hyperlink r:id="rId5" w:history="1">
        <w:r w:rsidRPr="00842D3D">
          <w:rPr>
            <w:rFonts w:eastAsia="Calibri" w:cs="Times New Roman"/>
            <w:color w:val="467886"/>
            <w:szCs w:val="24"/>
            <w:u w:val="single"/>
          </w:rPr>
          <w:t>https://perma.cc/GHB2-93XS</w:t>
        </w:r>
      </w:hyperlink>
      <w:r w:rsidRPr="00842D3D">
        <w:rPr>
          <w:rFonts w:eastAsia="Calibri" w:cs="Times New Roman"/>
          <w:szCs w:val="24"/>
        </w:rPr>
        <w:t xml:space="preserve"> </w:t>
      </w:r>
    </w:p>
    <w:p w14:paraId="1F71AC25" w14:textId="77777777" w:rsidR="00212415" w:rsidRPr="00842D3D" w:rsidRDefault="00212415" w:rsidP="00212415">
      <w:pPr>
        <w:autoSpaceDE w:val="0"/>
        <w:autoSpaceDN w:val="0"/>
        <w:adjustRightInd w:val="0"/>
        <w:rPr>
          <w:rFonts w:eastAsia="Calibri" w:cs="Times New Roman"/>
          <w:szCs w:val="24"/>
        </w:rPr>
      </w:pPr>
    </w:p>
    <w:p w14:paraId="66E5CDA6" w14:textId="77777777" w:rsidR="00212415" w:rsidRPr="00842D3D" w:rsidRDefault="00212415" w:rsidP="00212415">
      <w:pPr>
        <w:autoSpaceDE w:val="0"/>
        <w:autoSpaceDN w:val="0"/>
        <w:adjustRightInd w:val="0"/>
        <w:rPr>
          <w:rFonts w:eastAsia="Calibri" w:cs="Times New Roman"/>
          <w:szCs w:val="24"/>
        </w:rPr>
      </w:pPr>
    </w:p>
    <w:p w14:paraId="190F3AB7" w14:textId="77777777" w:rsidR="00212415" w:rsidRPr="00842D3D" w:rsidRDefault="00212415" w:rsidP="00212415">
      <w:pPr>
        <w:autoSpaceDE w:val="0"/>
        <w:autoSpaceDN w:val="0"/>
        <w:adjustRightInd w:val="0"/>
        <w:jc w:val="right"/>
        <w:rPr>
          <w:rFonts w:eastAsia="Calibri" w:cs="Times New Roman"/>
          <w:szCs w:val="24"/>
        </w:rPr>
      </w:pPr>
      <w:r w:rsidRPr="00842D3D">
        <w:rPr>
          <w:rFonts w:eastAsia="Calibri" w:cs="Times New Roman"/>
          <w:i/>
          <w:iCs/>
          <w:szCs w:val="24"/>
        </w:rPr>
        <w:t>Revised September</w:t>
      </w:r>
      <w:r>
        <w:rPr>
          <w:rFonts w:eastAsia="Calibri" w:cs="Times New Roman"/>
          <w:i/>
          <w:iCs/>
          <w:szCs w:val="24"/>
        </w:rPr>
        <w:t xml:space="preserve"> </w:t>
      </w:r>
      <w:r w:rsidRPr="00842D3D">
        <w:rPr>
          <w:rFonts w:eastAsia="Calibri" w:cs="Times New Roman"/>
          <w:i/>
          <w:iCs/>
          <w:szCs w:val="24"/>
        </w:rPr>
        <w:t>2025</w:t>
      </w:r>
    </w:p>
    <w:p w14:paraId="6BBBDBA2" w14:textId="77777777" w:rsidR="00147419" w:rsidRPr="00212415" w:rsidRDefault="00147419" w:rsidP="00212415"/>
    <w:sectPr w:rsidR="00147419" w:rsidRPr="00212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15"/>
    <w:rsid w:val="00147419"/>
    <w:rsid w:val="00212415"/>
    <w:rsid w:val="0042339F"/>
    <w:rsid w:val="007E0761"/>
    <w:rsid w:val="00B951E2"/>
    <w:rsid w:val="00C36D00"/>
    <w:rsid w:val="00D04691"/>
    <w:rsid w:val="00D54CA4"/>
    <w:rsid w:val="00DE3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ED73"/>
  <w15:chartTrackingRefBased/>
  <w15:docId w15:val="{B7114436-4B8D-46F1-9E39-16EE3094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415"/>
    <w:pPr>
      <w:spacing w:after="0" w:line="240"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21241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1241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1241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12415"/>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212415"/>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212415"/>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212415"/>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212415"/>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212415"/>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4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4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4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4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4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415"/>
    <w:rPr>
      <w:rFonts w:eastAsiaTheme="majorEastAsia" w:cstheme="majorBidi"/>
      <w:color w:val="272727" w:themeColor="text1" w:themeTint="D8"/>
    </w:rPr>
  </w:style>
  <w:style w:type="paragraph" w:styleId="Title">
    <w:name w:val="Title"/>
    <w:basedOn w:val="Normal"/>
    <w:next w:val="Normal"/>
    <w:link w:val="TitleChar"/>
    <w:uiPriority w:val="10"/>
    <w:qFormat/>
    <w:rsid w:val="0021241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12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41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12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415"/>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12415"/>
    <w:rPr>
      <w:i/>
      <w:iCs/>
      <w:color w:val="404040" w:themeColor="text1" w:themeTint="BF"/>
    </w:rPr>
  </w:style>
  <w:style w:type="paragraph" w:styleId="ListParagraph">
    <w:name w:val="List Paragraph"/>
    <w:basedOn w:val="Normal"/>
    <w:uiPriority w:val="34"/>
    <w:qFormat/>
    <w:rsid w:val="00212415"/>
    <w:pPr>
      <w:spacing w:after="160" w:line="278" w:lineRule="auto"/>
      <w:ind w:left="720"/>
      <w:contextualSpacing/>
    </w:pPr>
    <w:rPr>
      <w:rFonts w:asciiTheme="minorHAnsi" w:hAnsiTheme="minorHAnsi"/>
      <w:kern w:val="2"/>
      <w:szCs w:val="24"/>
      <w14:ligatures w14:val="standardContextual"/>
    </w:rPr>
  </w:style>
  <w:style w:type="character" w:styleId="IntenseEmphasis">
    <w:name w:val="Intense Emphasis"/>
    <w:basedOn w:val="DefaultParagraphFont"/>
    <w:uiPriority w:val="21"/>
    <w:qFormat/>
    <w:rsid w:val="00212415"/>
    <w:rPr>
      <w:i/>
      <w:iCs/>
      <w:color w:val="0F4761" w:themeColor="accent1" w:themeShade="BF"/>
    </w:rPr>
  </w:style>
  <w:style w:type="paragraph" w:styleId="IntenseQuote">
    <w:name w:val="Intense Quote"/>
    <w:basedOn w:val="Normal"/>
    <w:next w:val="Normal"/>
    <w:link w:val="IntenseQuoteChar"/>
    <w:uiPriority w:val="30"/>
    <w:qFormat/>
    <w:rsid w:val="0021241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212415"/>
    <w:rPr>
      <w:i/>
      <w:iCs/>
      <w:color w:val="0F4761" w:themeColor="accent1" w:themeShade="BF"/>
    </w:rPr>
  </w:style>
  <w:style w:type="character" w:styleId="IntenseReference">
    <w:name w:val="Intense Reference"/>
    <w:basedOn w:val="DefaultParagraphFont"/>
    <w:uiPriority w:val="32"/>
    <w:qFormat/>
    <w:rsid w:val="00212415"/>
    <w:rPr>
      <w:b/>
      <w:bCs/>
      <w:smallCaps/>
      <w:color w:val="0F4761" w:themeColor="accent1" w:themeShade="BF"/>
      <w:spacing w:val="5"/>
    </w:rPr>
  </w:style>
  <w:style w:type="character" w:styleId="Hyperlink">
    <w:name w:val="Hyperlink"/>
    <w:basedOn w:val="DefaultParagraphFont"/>
    <w:uiPriority w:val="99"/>
    <w:unhideWhenUsed/>
    <w:rsid w:val="00212415"/>
    <w:rPr>
      <w:color w:val="467886" w:themeColor="hyperlink"/>
      <w:u w:val="single"/>
    </w:rPr>
  </w:style>
  <w:style w:type="character" w:styleId="UnresolvedMention">
    <w:name w:val="Unresolved Mention"/>
    <w:basedOn w:val="DefaultParagraphFont"/>
    <w:uiPriority w:val="99"/>
    <w:semiHidden/>
    <w:unhideWhenUsed/>
    <w:rsid w:val="00212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176060">
      <w:bodyDiv w:val="1"/>
      <w:marLeft w:val="0"/>
      <w:marRight w:val="0"/>
      <w:marTop w:val="0"/>
      <w:marBottom w:val="0"/>
      <w:divBdr>
        <w:top w:val="none" w:sz="0" w:space="0" w:color="auto"/>
        <w:left w:val="none" w:sz="0" w:space="0" w:color="auto"/>
        <w:bottom w:val="none" w:sz="0" w:space="0" w:color="auto"/>
        <w:right w:val="none" w:sz="0" w:space="0" w:color="auto"/>
      </w:divBdr>
    </w:div>
    <w:div w:id="172610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erma.cc/GHB2-93XS" TargetMode="External"/><Relationship Id="rId4" Type="http://schemas.openxmlformats.org/officeDocument/2006/relationships/hyperlink" Target="https://www.ca9.uscourts.gov/guides/section-1983-out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1959</Words>
  <Characters>11170</Characters>
  <Application>Microsoft Office Word</Application>
  <DocSecurity>0</DocSecurity>
  <Lines>93</Lines>
  <Paragraphs>26</Paragraphs>
  <ScaleCrop>false</ScaleCrop>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1</cp:revision>
  <dcterms:created xsi:type="dcterms:W3CDTF">2026-02-05T15:58:00Z</dcterms:created>
  <dcterms:modified xsi:type="dcterms:W3CDTF">2026-02-05T16:00:00Z</dcterms:modified>
</cp:coreProperties>
</file>