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2D30" w14:textId="4642188F" w:rsidR="00AA6DB3" w:rsidRPr="00AA6DB3" w:rsidRDefault="00AA6DB3" w:rsidP="00AA6DB3">
      <w:pPr>
        <w:autoSpaceDE w:val="0"/>
        <w:autoSpaceDN w:val="0"/>
        <w:adjustRightInd w:val="0"/>
        <w:spacing w:after="0" w:line="240" w:lineRule="auto"/>
        <w:jc w:val="center"/>
        <w:rPr>
          <w:rFonts w:ascii="Times New Roman" w:hAnsi="Times New Roman" w:cs="Times New Roman"/>
          <w:b/>
          <w:bCs/>
          <w:sz w:val="24"/>
          <w:szCs w:val="24"/>
        </w:rPr>
      </w:pPr>
      <w:r w:rsidRPr="00AA6DB3">
        <w:rPr>
          <w:rFonts w:ascii="Times New Roman" w:hAnsi="Times New Roman" w:cs="Times New Roman"/>
          <w:sz w:val="24"/>
          <w:szCs w:val="24"/>
          <w:lang w:val="en-CA"/>
        </w:rPr>
        <w:fldChar w:fldCharType="begin"/>
      </w:r>
      <w:r w:rsidRPr="00AA6DB3">
        <w:rPr>
          <w:rFonts w:ascii="Times New Roman" w:hAnsi="Times New Roman" w:cs="Times New Roman"/>
          <w:sz w:val="24"/>
          <w:szCs w:val="24"/>
          <w:lang w:val="en-CA"/>
        </w:rPr>
        <w:instrText xml:space="preserve"> SEQ CHAPTER \h \r 1</w:instrText>
      </w:r>
      <w:r w:rsidRPr="00AA6DB3">
        <w:rPr>
          <w:rFonts w:ascii="Times New Roman" w:hAnsi="Times New Roman" w:cs="Times New Roman"/>
          <w:sz w:val="24"/>
          <w:szCs w:val="24"/>
          <w:lang w:val="en-CA"/>
        </w:rPr>
        <w:fldChar w:fldCharType="end"/>
      </w:r>
      <w:r w:rsidRPr="00AA6DB3">
        <w:rPr>
          <w:rFonts w:ascii="Times New Roman" w:hAnsi="Times New Roman" w:cs="Times New Roman"/>
          <w:b/>
          <w:bCs/>
          <w:sz w:val="24"/>
          <w:szCs w:val="24"/>
        </w:rPr>
        <w:t xml:space="preserve">9.10 </w:t>
      </w:r>
      <w:bookmarkStart w:id="0" w:name="_Hlk173338333"/>
      <w:r w:rsidR="000E62B0" w:rsidRPr="00AA6DB3">
        <w:rPr>
          <w:rFonts w:ascii="Times New Roman" w:hAnsi="Times New Roman" w:cs="Times New Roman"/>
          <w:b/>
          <w:bCs/>
          <w:sz w:val="24"/>
          <w:szCs w:val="24"/>
        </w:rPr>
        <w:t>Particular Rights</w:t>
      </w:r>
      <w:r w:rsidR="000E62B0" w:rsidRPr="00AA6DB3">
        <w:rPr>
          <w:rFonts w:ascii="Times New Roman" w:hAnsi="Times New Roman" w:cs="Times New Roman"/>
          <w:sz w:val="24"/>
          <w:szCs w:val="24"/>
        </w:rPr>
        <w:t>—</w:t>
      </w:r>
      <w:r w:rsidR="000E62B0" w:rsidRPr="00AA6DB3">
        <w:rPr>
          <w:rFonts w:ascii="Times New Roman" w:hAnsi="Times New Roman" w:cs="Times New Roman"/>
          <w:b/>
          <w:bCs/>
          <w:sz w:val="24"/>
          <w:szCs w:val="24"/>
        </w:rPr>
        <w:t xml:space="preserve">First Amendment—Public Employees—Speaking </w:t>
      </w:r>
      <w:r w:rsidR="000E62B0">
        <w:rPr>
          <w:rFonts w:ascii="Times New Roman" w:hAnsi="Times New Roman" w:cs="Times New Roman"/>
          <w:b/>
          <w:bCs/>
          <w:sz w:val="24"/>
          <w:szCs w:val="24"/>
        </w:rPr>
        <w:t>a</w:t>
      </w:r>
      <w:r w:rsidR="000E62B0" w:rsidRPr="00AA6DB3">
        <w:rPr>
          <w:rFonts w:ascii="Times New Roman" w:hAnsi="Times New Roman" w:cs="Times New Roman"/>
          <w:b/>
          <w:bCs/>
          <w:sz w:val="24"/>
          <w:szCs w:val="24"/>
        </w:rPr>
        <w:t xml:space="preserve">s </w:t>
      </w:r>
      <w:r w:rsidR="000E62B0">
        <w:rPr>
          <w:rFonts w:ascii="Times New Roman" w:hAnsi="Times New Roman" w:cs="Times New Roman"/>
          <w:b/>
          <w:bCs/>
          <w:sz w:val="24"/>
          <w:szCs w:val="24"/>
        </w:rPr>
        <w:t>a</w:t>
      </w:r>
      <w:r w:rsidR="000E62B0" w:rsidRPr="00AA6DB3">
        <w:rPr>
          <w:rFonts w:ascii="Times New Roman" w:hAnsi="Times New Roman" w:cs="Times New Roman"/>
          <w:b/>
          <w:bCs/>
          <w:sz w:val="24"/>
          <w:szCs w:val="24"/>
        </w:rPr>
        <w:t xml:space="preserve"> Private Citizen</w:t>
      </w:r>
      <w:bookmarkEnd w:id="0"/>
    </w:p>
    <w:p w14:paraId="4A059056" w14:textId="77777777" w:rsidR="00AA6DB3" w:rsidRPr="00AA6DB3" w:rsidRDefault="00AA6DB3" w:rsidP="00AA6DB3">
      <w:pPr>
        <w:autoSpaceDE w:val="0"/>
        <w:autoSpaceDN w:val="0"/>
        <w:adjustRightInd w:val="0"/>
        <w:spacing w:after="0" w:line="240" w:lineRule="auto"/>
        <w:rPr>
          <w:rFonts w:ascii="Times New Roman" w:hAnsi="Times New Roman" w:cs="Times New Roman"/>
          <w:b/>
          <w:bCs/>
          <w:sz w:val="24"/>
          <w:szCs w:val="24"/>
        </w:rPr>
      </w:pPr>
    </w:p>
    <w:p w14:paraId="6804D665"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sz w:val="24"/>
          <w:szCs w:val="24"/>
        </w:rPr>
        <w:tab/>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1CA1BE82"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0416353B"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sz w:val="24"/>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6304CE28"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4A65B770"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sz w:val="24"/>
          <w:szCs w:val="24"/>
        </w:rPr>
        <w:tab/>
        <w:t>(1)</w:t>
      </w:r>
      <w:r w:rsidRPr="008535CC">
        <w:rPr>
          <w:rFonts w:ascii="Times New Roman" w:eastAsia="Calibri" w:hAnsi="Times New Roman" w:cs="Times New Roman"/>
          <w:sz w:val="24"/>
          <w:szCs w:val="24"/>
        </w:rPr>
        <w:tab/>
        <w:t>Did the plaintiff confine the communications to the plaintiff’s chain of command? If so, then such speech may fall within the plaintiff’s official duties. If not, then such speech may fall outside of the plaintiff’s official duties.</w:t>
      </w:r>
    </w:p>
    <w:p w14:paraId="3B3B1489"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648FA53B"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sz w:val="24"/>
          <w:szCs w:val="24"/>
        </w:rPr>
        <w:tab/>
        <w:t>(2)</w:t>
      </w:r>
      <w:r w:rsidRPr="008535CC">
        <w:rPr>
          <w:rFonts w:ascii="Times New Roman" w:eastAsia="Calibri" w:hAnsi="Times New Roman" w:cs="Times New Roman"/>
          <w:sz w:val="24"/>
          <w:szCs w:val="24"/>
        </w:rPr>
        <w:tab/>
        <w:t>Was the subject matter of the communication within the plaintiff’s job duties? If so, then such speech may fall within the plaintiff’s official duties. If not, then such speech may fall outside of the plaintiff’s official duties.</w:t>
      </w:r>
    </w:p>
    <w:p w14:paraId="75C2C3FD"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4BE5AEE8"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sz w:val="24"/>
          <w:szCs w:val="24"/>
        </w:rPr>
        <w:tab/>
        <w:t>(3)</w:t>
      </w:r>
      <w:r w:rsidRPr="008535CC">
        <w:rPr>
          <w:rFonts w:ascii="Times New Roman" w:eastAsia="Calibri" w:hAnsi="Times New Roman" w:cs="Times New Roman"/>
          <w:sz w:val="24"/>
          <w:szCs w:val="24"/>
        </w:rPr>
        <w:tab/>
        <w:t>Did the plaintiff speak in direct contravention to the plaintiff’s supervisor’s orders? If so, then such speech may fall outside of the plaintiff’s official duties. If not, then such speech may fall within the plaintiff’s official duties.</w:t>
      </w:r>
    </w:p>
    <w:p w14:paraId="4573C6A2"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05981237"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sz w:val="24"/>
          <w:szCs w:val="24"/>
        </w:rPr>
        <w:tab/>
        <w:t>(4)</w:t>
      </w:r>
      <w:r w:rsidRPr="008535CC">
        <w:rPr>
          <w:rFonts w:ascii="Times New Roman" w:eastAsia="Calibri" w:hAnsi="Times New Roman" w:cs="Times New Roman"/>
          <w:sz w:val="24"/>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35FF87E5"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270D33B6" w14:textId="77777777" w:rsidR="008535CC" w:rsidRPr="008535CC" w:rsidRDefault="008535CC" w:rsidP="008535CC">
      <w:pPr>
        <w:autoSpaceDE w:val="0"/>
        <w:autoSpaceDN w:val="0"/>
        <w:adjustRightInd w:val="0"/>
        <w:spacing w:after="0" w:line="240" w:lineRule="auto"/>
        <w:jc w:val="center"/>
        <w:rPr>
          <w:rFonts w:ascii="Times New Roman" w:eastAsia="Calibri" w:hAnsi="Times New Roman" w:cs="Times New Roman"/>
          <w:sz w:val="24"/>
          <w:szCs w:val="24"/>
        </w:rPr>
      </w:pPr>
      <w:r w:rsidRPr="008535CC">
        <w:rPr>
          <w:rFonts w:ascii="Times New Roman" w:eastAsia="Calibri" w:hAnsi="Times New Roman" w:cs="Times New Roman"/>
          <w:b/>
          <w:bCs/>
          <w:sz w:val="24"/>
          <w:szCs w:val="24"/>
        </w:rPr>
        <w:t>Comment</w:t>
      </w:r>
    </w:p>
    <w:p w14:paraId="40858696"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i/>
          <w:iCs/>
          <w:sz w:val="24"/>
          <w:szCs w:val="24"/>
        </w:rPr>
      </w:pPr>
    </w:p>
    <w:p w14:paraId="5D890E8B"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i/>
          <w:iCs/>
          <w:sz w:val="24"/>
          <w:szCs w:val="24"/>
        </w:rPr>
        <w:tab/>
      </w:r>
      <w:r w:rsidRPr="008535CC">
        <w:rPr>
          <w:rFonts w:ascii="Times New Roman" w:eastAsia="Calibri" w:hAnsi="Times New Roman" w:cs="Times New Roman"/>
          <w:sz w:val="24"/>
          <w:szCs w:val="24"/>
        </w:rPr>
        <w:t xml:space="preserve">“Speech made by public employees in their official capacity is not insulated from employer discipline by the First Amendment but speech made in their private capacity as a citizen is.” </w:t>
      </w:r>
      <w:r w:rsidRPr="008535CC">
        <w:rPr>
          <w:rFonts w:ascii="Times New Roman" w:eastAsia="Calibri" w:hAnsi="Times New Roman" w:cs="Times New Roman"/>
          <w:i/>
          <w:iCs/>
          <w:sz w:val="24"/>
          <w:szCs w:val="24"/>
        </w:rPr>
        <w:t>Brandon v. Maricopa Cnty.</w:t>
      </w:r>
      <w:r w:rsidRPr="008535CC">
        <w:rPr>
          <w:rFonts w:ascii="Times New Roman" w:eastAsia="Calibri" w:hAnsi="Times New Roman" w:cs="Times New Roman"/>
          <w:sz w:val="24"/>
          <w:szCs w:val="24"/>
        </w:rPr>
        <w:t xml:space="preserve">, 849 F.3d 837, 843 (9th Cir. 2017) (citing </w:t>
      </w:r>
      <w:r w:rsidRPr="008535CC">
        <w:rPr>
          <w:rFonts w:ascii="Times New Roman" w:eastAsia="Calibri" w:hAnsi="Times New Roman" w:cs="Times New Roman"/>
          <w:i/>
          <w:iCs/>
          <w:sz w:val="24"/>
          <w:szCs w:val="24"/>
        </w:rPr>
        <w:t>Garcetti v. Ceballos</w:t>
      </w:r>
      <w:r w:rsidRPr="008535CC">
        <w:rPr>
          <w:rFonts w:ascii="Times New Roman" w:eastAsia="Calibri" w:hAnsi="Times New Roman" w:cs="Times New Roman"/>
          <w:sz w:val="24"/>
          <w:szCs w:val="24"/>
        </w:rPr>
        <w:t xml:space="preserve">, 547 U.S. 410, 421 (2006)); </w:t>
      </w:r>
      <w:r w:rsidRPr="008535CC">
        <w:rPr>
          <w:rFonts w:ascii="Times New Roman" w:eastAsia="Calibri" w:hAnsi="Times New Roman" w:cs="Times New Roman"/>
          <w:i/>
          <w:iCs/>
          <w:sz w:val="24"/>
          <w:szCs w:val="24"/>
        </w:rPr>
        <w:t>see also Kennedy v. Bremerton Sch. Dist.</w:t>
      </w:r>
      <w:r w:rsidRPr="008535CC">
        <w:rPr>
          <w:rFonts w:ascii="Times New Roman" w:eastAsia="Calibri" w:hAnsi="Times New Roman" w:cs="Times New Roman"/>
          <w:sz w:val="24"/>
          <w:szCs w:val="24"/>
        </w:rPr>
        <w:t xml:space="preserve">, 597 U.S. 507, 527 (2022)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8535CC">
        <w:rPr>
          <w:rFonts w:ascii="Times New Roman" w:eastAsia="Calibri" w:hAnsi="Times New Roman" w:cs="Times New Roman"/>
          <w:i/>
          <w:iCs/>
          <w:sz w:val="24"/>
          <w:szCs w:val="24"/>
        </w:rPr>
        <w:t>Dahlia v. Rodriguez</w:t>
      </w:r>
      <w:r w:rsidRPr="008535CC">
        <w:rPr>
          <w:rFonts w:ascii="Times New Roman" w:eastAsia="Calibri" w:hAnsi="Times New Roman" w:cs="Times New Roman"/>
          <w:sz w:val="24"/>
          <w:szCs w:val="24"/>
        </w:rPr>
        <w:t>, 735 F.3d 1060, 1074-76 (9th Cir. 2013) (en banc)</w:t>
      </w:r>
      <w:bookmarkStart w:id="1" w:name="Instruction_9.10"/>
      <w:bookmarkEnd w:id="1"/>
      <w:r w:rsidRPr="008535CC">
        <w:rPr>
          <w:rFonts w:ascii="Times New Roman" w:eastAsia="Calibri" w:hAnsi="Times New Roman" w:cs="Times New Roman"/>
          <w:sz w:val="24"/>
          <w:szCs w:val="24"/>
        </w:rPr>
        <w:t xml:space="preserve">; </w:t>
      </w:r>
      <w:r w:rsidRPr="008535CC">
        <w:rPr>
          <w:rFonts w:ascii="Times New Roman" w:eastAsia="Calibri" w:hAnsi="Times New Roman" w:cs="Times New Roman"/>
          <w:i/>
          <w:iCs/>
          <w:sz w:val="24"/>
          <w:szCs w:val="24"/>
        </w:rPr>
        <w:t>see also</w:t>
      </w:r>
      <w:r w:rsidRPr="008535CC">
        <w:rPr>
          <w:rFonts w:ascii="Times New Roman" w:eastAsia="Calibri" w:hAnsi="Times New Roman" w:cs="Times New Roman"/>
          <w:sz w:val="24"/>
          <w:szCs w:val="24"/>
        </w:rPr>
        <w:t xml:space="preserve"> </w:t>
      </w:r>
      <w:r w:rsidRPr="008535CC">
        <w:rPr>
          <w:rFonts w:ascii="Times New Roman" w:eastAsia="Calibri" w:hAnsi="Times New Roman" w:cs="Times New Roman"/>
          <w:i/>
          <w:iCs/>
          <w:sz w:val="24"/>
          <w:szCs w:val="24"/>
        </w:rPr>
        <w:t>Lindke v. Freed</w:t>
      </w:r>
      <w:r w:rsidRPr="008535CC">
        <w:rPr>
          <w:rFonts w:ascii="Times New Roman" w:eastAsia="Calibri" w:hAnsi="Times New Roman" w:cs="Times New Roman"/>
          <w:sz w:val="24"/>
          <w:szCs w:val="24"/>
        </w:rPr>
        <w:t xml:space="preserve">, 601 U.S. 187, 203 (2024) (noting that, in the context of analyzing whether a public official’s social media activity is speech pursuant to their official duties or in their personal capacity, a court ought to engage in a fact-specific undertaking in which each post’s “content and function are the most important considerations”).  For a discussion of “guiding principles for undertaking the practical factual inquiry,” see </w:t>
      </w:r>
      <w:r w:rsidRPr="008535CC">
        <w:rPr>
          <w:rFonts w:ascii="Times New Roman" w:eastAsia="Calibri" w:hAnsi="Times New Roman" w:cs="Times New Roman"/>
          <w:i/>
          <w:iCs/>
          <w:sz w:val="24"/>
          <w:szCs w:val="24"/>
        </w:rPr>
        <w:t>Brandon</w:t>
      </w:r>
      <w:r w:rsidRPr="008535CC">
        <w:rPr>
          <w:rFonts w:ascii="Times New Roman" w:eastAsia="Calibri" w:hAnsi="Times New Roman" w:cs="Times New Roman"/>
          <w:sz w:val="24"/>
          <w:szCs w:val="24"/>
        </w:rPr>
        <w:t xml:space="preserve">, 849 F.3d at 843 (citing </w:t>
      </w:r>
      <w:r w:rsidRPr="008535CC">
        <w:rPr>
          <w:rFonts w:ascii="Times New Roman" w:eastAsia="Calibri" w:hAnsi="Times New Roman" w:cs="Times New Roman"/>
          <w:i/>
          <w:iCs/>
          <w:sz w:val="24"/>
          <w:szCs w:val="24"/>
        </w:rPr>
        <w:t>Dahlia</w:t>
      </w:r>
      <w:r w:rsidRPr="008535CC">
        <w:rPr>
          <w:rFonts w:ascii="Times New Roman" w:eastAsia="Calibri" w:hAnsi="Times New Roman" w:cs="Times New Roman"/>
          <w:sz w:val="24"/>
          <w:szCs w:val="24"/>
        </w:rPr>
        <w:t xml:space="preserve">, 735 F.3d at 1074-76); </w:t>
      </w:r>
      <w:r w:rsidRPr="008535CC">
        <w:rPr>
          <w:rFonts w:ascii="Times New Roman" w:eastAsia="Calibri" w:hAnsi="Times New Roman" w:cs="Times New Roman"/>
          <w:i/>
          <w:iCs/>
          <w:sz w:val="24"/>
          <w:szCs w:val="24"/>
        </w:rPr>
        <w:lastRenderedPageBreak/>
        <w:t>see also Kennedy</w:t>
      </w:r>
      <w:r w:rsidRPr="008535CC">
        <w:rPr>
          <w:rFonts w:ascii="Times New Roman" w:eastAsia="Calibri" w:hAnsi="Times New Roman" w:cs="Times New Roman"/>
          <w:sz w:val="24"/>
          <w:szCs w:val="24"/>
        </w:rPr>
        <w:t>, 597 U.S. at 528</w:t>
      </w:r>
      <w:r w:rsidRPr="008535CC" w:rsidDel="006D5E26">
        <w:rPr>
          <w:rFonts w:ascii="Times New Roman" w:eastAsia="Calibri" w:hAnsi="Times New Roman" w:cs="Times New Roman"/>
          <w:sz w:val="24"/>
          <w:szCs w:val="24"/>
        </w:rPr>
        <w:t xml:space="preserve"> </w:t>
      </w:r>
      <w:r w:rsidRPr="008535CC">
        <w:rPr>
          <w:rFonts w:ascii="Times New Roman" w:eastAsia="Calibri" w:hAnsi="Times New Roman" w:cs="Times New Roman"/>
          <w:sz w:val="24"/>
          <w:szCs w:val="24"/>
        </w:rPr>
        <w:t xml:space="preserve">(describing </w:t>
      </w:r>
      <w:r w:rsidRPr="008535CC">
        <w:rPr>
          <w:rFonts w:ascii="Times New Roman" w:eastAsia="Calibri" w:hAnsi="Times New Roman" w:cs="Times New Roman"/>
          <w:i/>
          <w:iCs/>
          <w:sz w:val="24"/>
          <w:szCs w:val="24"/>
        </w:rPr>
        <w:t>Garcetti</w:t>
      </w:r>
      <w:r w:rsidRPr="008535CC">
        <w:rPr>
          <w:rFonts w:ascii="Times New Roman" w:eastAsia="Calibri" w:hAnsi="Times New Roman" w:cs="Times New Roman"/>
          <w:sz w:val="24"/>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6DFFD378"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0A608ECB" w14:textId="77777777" w:rsidR="008535CC" w:rsidRPr="008535CC" w:rsidRDefault="008535CC" w:rsidP="008535CC">
      <w:pPr>
        <w:autoSpaceDE w:val="0"/>
        <w:autoSpaceDN w:val="0"/>
        <w:adjustRightInd w:val="0"/>
        <w:spacing w:after="0" w:line="240" w:lineRule="auto"/>
        <w:ind w:firstLine="720"/>
        <w:rPr>
          <w:rFonts w:ascii="Times New Roman" w:eastAsia="Calibri" w:hAnsi="Times New Roman" w:cs="Times New Roman"/>
          <w:sz w:val="24"/>
          <w:szCs w:val="24"/>
        </w:rPr>
      </w:pPr>
      <w:r w:rsidRPr="008535CC">
        <w:rPr>
          <w:rFonts w:ascii="Times New Roman" w:eastAsia="Calibri" w:hAnsi="Times New Roman" w:cs="Times New Roman"/>
          <w:sz w:val="24"/>
          <w:szCs w:val="24"/>
        </w:rPr>
        <w:t xml:space="preserve">In </w:t>
      </w:r>
      <w:r w:rsidRPr="008535CC">
        <w:rPr>
          <w:rFonts w:ascii="Times New Roman" w:eastAsia="Calibri" w:hAnsi="Times New Roman" w:cs="Times New Roman"/>
          <w:i/>
          <w:iCs/>
          <w:sz w:val="24"/>
          <w:szCs w:val="24"/>
        </w:rPr>
        <w:t>Kennedy v. Bremerton School District</w:t>
      </w:r>
      <w:r w:rsidRPr="008535CC">
        <w:rPr>
          <w:rFonts w:ascii="Times New Roman" w:eastAsia="Calibri" w:hAnsi="Times New Roman" w:cs="Times New Roman"/>
          <w:sz w:val="24"/>
          <w:szCs w:val="24"/>
        </w:rPr>
        <w:t xml:space="preserve">, the Supreme Court held that a public high school football coach spoke not as a public employee, but as a private citizen, when he decided “to persist in praying quietly without his players after three games in October 2015,” 597 U.S. at 525-26, which were “the three prayers that resulted in his suspension,” </w:t>
      </w:r>
      <w:r w:rsidRPr="008535CC">
        <w:rPr>
          <w:rFonts w:ascii="Times New Roman" w:eastAsia="Calibri" w:hAnsi="Times New Roman" w:cs="Times New Roman"/>
          <w:i/>
          <w:iCs/>
          <w:sz w:val="24"/>
          <w:szCs w:val="24"/>
        </w:rPr>
        <w:t xml:space="preserve">id. </w:t>
      </w:r>
      <w:r w:rsidRPr="008535CC">
        <w:rPr>
          <w:rFonts w:ascii="Times New Roman" w:eastAsia="Calibri" w:hAnsi="Times New Roman" w:cs="Times New Roman"/>
          <w:sz w:val="24"/>
          <w:szCs w:val="24"/>
        </w:rPr>
        <w:t>at 2424. The Supreme Court explained:</w:t>
      </w:r>
    </w:p>
    <w:p w14:paraId="3552C050"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42A88A3D" w14:textId="77777777" w:rsidR="008535CC" w:rsidRPr="008535CC" w:rsidRDefault="008535CC" w:rsidP="008535CC">
      <w:pPr>
        <w:autoSpaceDE w:val="0"/>
        <w:autoSpaceDN w:val="0"/>
        <w:adjustRightInd w:val="0"/>
        <w:spacing w:after="0" w:line="240" w:lineRule="auto"/>
        <w:ind w:left="720" w:right="720"/>
        <w:jc w:val="both"/>
        <w:rPr>
          <w:rFonts w:ascii="Times New Roman" w:eastAsia="Calibri" w:hAnsi="Times New Roman" w:cs="Times New Roman"/>
          <w:sz w:val="24"/>
          <w:szCs w:val="24"/>
        </w:rPr>
      </w:pPr>
      <w:r w:rsidRPr="008535CC">
        <w:rPr>
          <w:rFonts w:ascii="Times New Roman" w:eastAsia="Calibri" w:hAnsi="Times New Roman" w:cs="Times New Roman"/>
          <w:sz w:val="24"/>
          <w:szCs w:val="24"/>
        </w:rPr>
        <w:t>[The coach] did not speak pursuant to government policy. He was not seeking to convey a government-created message. He was not instructing players, discussing strategy, encouraging better on-field performance, or engaged in any other speech the District paid him to produce as a coach. Simply put: Mr. Kennedy’s prayers did not “ow[e their] existence” to Mr. Kennedy’s responsibilities as a public employee.</w:t>
      </w:r>
    </w:p>
    <w:p w14:paraId="56CC2372" w14:textId="77777777" w:rsidR="008535CC" w:rsidRPr="008535CC" w:rsidRDefault="008535CC" w:rsidP="008535CC">
      <w:pPr>
        <w:autoSpaceDE w:val="0"/>
        <w:autoSpaceDN w:val="0"/>
        <w:adjustRightInd w:val="0"/>
        <w:spacing w:after="0" w:line="240" w:lineRule="auto"/>
        <w:ind w:firstLine="720"/>
        <w:rPr>
          <w:rFonts w:ascii="Times New Roman" w:eastAsia="Calibri" w:hAnsi="Times New Roman" w:cs="Times New Roman"/>
          <w:sz w:val="24"/>
          <w:szCs w:val="24"/>
        </w:rPr>
      </w:pPr>
    </w:p>
    <w:p w14:paraId="7078ABB8" w14:textId="77777777" w:rsidR="008535CC" w:rsidRPr="008535CC" w:rsidRDefault="008535CC" w:rsidP="008535CC">
      <w:pPr>
        <w:autoSpaceDE w:val="0"/>
        <w:autoSpaceDN w:val="0"/>
        <w:adjustRightInd w:val="0"/>
        <w:spacing w:after="0" w:line="240" w:lineRule="auto"/>
        <w:ind w:firstLine="720"/>
        <w:rPr>
          <w:rFonts w:ascii="Times New Roman" w:eastAsia="Calibri" w:hAnsi="Times New Roman" w:cs="Times New Roman"/>
          <w:sz w:val="24"/>
          <w:szCs w:val="24"/>
        </w:rPr>
      </w:pPr>
      <w:r w:rsidRPr="008535CC">
        <w:rPr>
          <w:rFonts w:ascii="Times New Roman" w:eastAsia="Calibri" w:hAnsi="Times New Roman" w:cs="Times New Roman"/>
          <w:i/>
          <w:iCs/>
          <w:sz w:val="24"/>
          <w:szCs w:val="24"/>
        </w:rPr>
        <w:t>Id.</w:t>
      </w:r>
      <w:r w:rsidRPr="008535CC">
        <w:rPr>
          <w:rFonts w:ascii="Times New Roman" w:eastAsia="Calibri" w:hAnsi="Times New Roman" w:cs="Times New Roman"/>
          <w:sz w:val="24"/>
          <w:szCs w:val="24"/>
        </w:rPr>
        <w:t xml:space="preserve"> (citations omitted); </w:t>
      </w:r>
      <w:r w:rsidRPr="008535CC">
        <w:rPr>
          <w:rFonts w:ascii="Times New Roman" w:eastAsia="Calibri" w:hAnsi="Times New Roman" w:cs="Times New Roman"/>
          <w:i/>
          <w:iCs/>
          <w:sz w:val="24"/>
          <w:szCs w:val="24"/>
        </w:rPr>
        <w:t>see also Moonin v. Tice</w:t>
      </w:r>
      <w:r w:rsidRPr="008535CC">
        <w:rPr>
          <w:rFonts w:ascii="Times New Roman" w:eastAsia="Calibri" w:hAnsi="Times New Roman" w:cs="Times New Roman"/>
          <w:sz w:val="24"/>
          <w:szCs w:val="24"/>
        </w:rPr>
        <w:t xml:space="preserve">, 868 F.3d 853 (9th Cir. 2017) (holding that prior restraint prohibiting highway patrol officers from speaking about controversial canine drug interdiction program with anyone outside of law enforcement violates the First Amendment); </w:t>
      </w:r>
      <w:r w:rsidRPr="008535CC">
        <w:rPr>
          <w:rFonts w:ascii="Times New Roman" w:eastAsia="Calibri" w:hAnsi="Times New Roman" w:cs="Times New Roman"/>
          <w:i/>
          <w:iCs/>
          <w:sz w:val="24"/>
          <w:szCs w:val="24"/>
        </w:rPr>
        <w:t>Barone v. City of Springfield</w:t>
      </w:r>
      <w:r w:rsidRPr="008535CC">
        <w:rPr>
          <w:rFonts w:ascii="Times New Roman" w:eastAsia="Calibri" w:hAnsi="Times New Roman" w:cs="Times New Roman"/>
          <w:sz w:val="24"/>
          <w:szCs w:val="24"/>
        </w:rPr>
        <w:t xml:space="preserve">, 902 F.3d 1091, 1101-06 (9th Cir. 2018) (holding that prior restraint prohibiting a police officer from speaking or writing “anything of a disparaging or negative manner related to the Department/Organization/City of Springfield or its Employees” violated the First Amendment); </w:t>
      </w:r>
      <w:r w:rsidRPr="008535CC">
        <w:rPr>
          <w:rFonts w:ascii="Times New Roman" w:eastAsia="Calibri" w:hAnsi="Times New Roman" w:cs="Times New Roman"/>
          <w:i/>
          <w:iCs/>
          <w:sz w:val="24"/>
          <w:szCs w:val="24"/>
        </w:rPr>
        <w:t>Ohlson v. Brady</w:t>
      </w:r>
      <w:r w:rsidRPr="008535CC">
        <w:rPr>
          <w:rFonts w:ascii="Times New Roman" w:eastAsia="Calibri" w:hAnsi="Times New Roman" w:cs="Times New Roman"/>
          <w:sz w:val="24"/>
          <w:szCs w:val="24"/>
        </w:rPr>
        <w:t xml:space="preserve">, 9 F.4th 1156 (9th Cir. 2021) (concluding that a forensic scientist who testified in court as part of his job duties spoke as an employee rather than a private citizen entitled to First Amendment protection); </w:t>
      </w:r>
      <w:r w:rsidRPr="008535CC">
        <w:rPr>
          <w:rFonts w:ascii="Times New Roman" w:eastAsia="Calibri" w:hAnsi="Times New Roman" w:cs="Times New Roman"/>
          <w:i/>
          <w:iCs/>
          <w:sz w:val="24"/>
          <w:szCs w:val="24"/>
        </w:rPr>
        <w:t>Dodge v. Evergreen School District</w:t>
      </w:r>
      <w:r w:rsidRPr="008535CC">
        <w:rPr>
          <w:rFonts w:ascii="Times New Roman" w:eastAsia="Calibri" w:hAnsi="Times New Roman" w:cs="Times New Roman"/>
          <w:sz w:val="24"/>
          <w:szCs w:val="24"/>
        </w:rPr>
        <w:t>, 56 F.4th 767, 778 (9th Cir. 2022) (concluding that a teacher engaged in expression as a private citizen entitled to First Amendment protection rather than an employee when he “display[ed] a message on a personal item while attending a teacher-only training”);</w:t>
      </w:r>
      <w:r w:rsidRPr="008535CC">
        <w:rPr>
          <w:rFonts w:ascii="TimesNewRomanPSMT,Italic" w:eastAsia="Calibri" w:hAnsi="TimesNewRomanPSMT,Italic" w:cs="TimesNewRomanPSMT,Italic"/>
          <w:i/>
          <w:iCs/>
          <w:color w:val="000000"/>
          <w:sz w:val="28"/>
          <w:szCs w:val="28"/>
        </w:rPr>
        <w:t xml:space="preserve"> </w:t>
      </w:r>
      <w:r w:rsidRPr="008535CC">
        <w:rPr>
          <w:rFonts w:ascii="Times New Roman" w:eastAsia="Calibri" w:hAnsi="Times New Roman" w:cs="Times New Roman"/>
          <w:i/>
          <w:iCs/>
          <w:sz w:val="24"/>
          <w:szCs w:val="24"/>
        </w:rPr>
        <w:t>Burch v. City of Chubbuck</w:t>
      </w:r>
      <w:r w:rsidRPr="008535CC">
        <w:rPr>
          <w:rFonts w:ascii="Times New Roman" w:eastAsia="Calibri" w:hAnsi="Times New Roman" w:cs="Times New Roman"/>
          <w:sz w:val="24"/>
          <w:szCs w:val="24"/>
        </w:rPr>
        <w:t>, 146 F.4th 822, 833-35 (9th Cir. 2025) (holding that city public works director spoke as a private citizen in placing a sign in his yard showing support for an individual opposing his supervisor—the mayor—in an upcoming election, but that his criticisms of the mayor’s policies and performance and his proposal and advocacy for adding a city administrator were not made as a private citizen).</w:t>
      </w:r>
    </w:p>
    <w:p w14:paraId="6060B3D8"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p>
    <w:p w14:paraId="78E04500" w14:textId="77777777" w:rsidR="008535CC" w:rsidRPr="008535CC" w:rsidRDefault="008535CC" w:rsidP="008535CC">
      <w:pPr>
        <w:autoSpaceDE w:val="0"/>
        <w:autoSpaceDN w:val="0"/>
        <w:adjustRightInd w:val="0"/>
        <w:spacing w:after="0" w:line="240" w:lineRule="auto"/>
        <w:ind w:firstLine="720"/>
        <w:rPr>
          <w:rFonts w:ascii="Times New Roman" w:eastAsia="Calibri" w:hAnsi="Times New Roman" w:cs="Times New Roman"/>
          <w:sz w:val="24"/>
          <w:szCs w:val="24"/>
        </w:rPr>
      </w:pPr>
      <w:r w:rsidRPr="008535CC">
        <w:rPr>
          <w:rFonts w:ascii="Times New Roman" w:eastAsia="Calibri" w:hAnsi="Times New Roman" w:cs="Times New Roman"/>
          <w:sz w:val="24"/>
          <w:szCs w:val="24"/>
        </w:rPr>
        <w:t xml:space="preserve">On the other hand, in </w:t>
      </w:r>
      <w:r w:rsidRPr="008535CC">
        <w:rPr>
          <w:rFonts w:ascii="Times New Roman" w:eastAsia="Calibri" w:hAnsi="Times New Roman" w:cs="Times New Roman"/>
          <w:i/>
          <w:iCs/>
          <w:sz w:val="24"/>
          <w:szCs w:val="24"/>
        </w:rPr>
        <w:t>Linthicum v. Wagner</w:t>
      </w:r>
      <w:r w:rsidRPr="008535CC">
        <w:rPr>
          <w:rFonts w:ascii="Times New Roman" w:eastAsia="Calibri" w:hAnsi="Times New Roman" w:cs="Times New Roman"/>
          <w:sz w:val="24"/>
          <w:szCs w:val="24"/>
        </w:rPr>
        <w:t>, 94 F.4th 887 (9th Cir. 2024) the Ninth Circuit</w:t>
      </w:r>
    </w:p>
    <w:p w14:paraId="4EC4018B" w14:textId="77777777" w:rsidR="008535CC" w:rsidRPr="008535CC" w:rsidRDefault="008535CC" w:rsidP="008535CC">
      <w:pPr>
        <w:autoSpaceDE w:val="0"/>
        <w:autoSpaceDN w:val="0"/>
        <w:adjustRightInd w:val="0"/>
        <w:spacing w:after="0" w:line="240" w:lineRule="auto"/>
        <w:rPr>
          <w:rFonts w:ascii="Times New Roman" w:eastAsia="Calibri" w:hAnsi="Times New Roman" w:cs="Times New Roman"/>
          <w:sz w:val="24"/>
          <w:szCs w:val="24"/>
        </w:rPr>
      </w:pPr>
      <w:r w:rsidRPr="008535CC">
        <w:rPr>
          <w:rFonts w:ascii="Times New Roman" w:eastAsia="Calibri" w:hAnsi="Times New Roman" w:cs="Times New Roman"/>
          <w:sz w:val="24"/>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court based their reasoning on </w:t>
      </w:r>
      <w:r w:rsidRPr="008535CC">
        <w:rPr>
          <w:rFonts w:ascii="Times New Roman" w:eastAsia="Calibri" w:hAnsi="Times New Roman" w:cs="Times New Roman"/>
          <w:i/>
          <w:iCs/>
          <w:sz w:val="24"/>
          <w:szCs w:val="24"/>
        </w:rPr>
        <w:t>Nevada Commission on Ethics v. Carrigan</w:t>
      </w:r>
      <w:r w:rsidRPr="008535CC">
        <w:rPr>
          <w:rFonts w:ascii="Times New Roman" w:eastAsia="Calibri" w:hAnsi="Times New Roman" w:cs="Times New Roman"/>
          <w:sz w:val="24"/>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8535CC">
        <w:rPr>
          <w:rFonts w:ascii="Times New Roman" w:eastAsia="Calibri" w:hAnsi="Times New Roman" w:cs="Times New Roman"/>
          <w:i/>
          <w:iCs/>
          <w:sz w:val="24"/>
          <w:szCs w:val="24"/>
        </w:rPr>
        <w:t>Linthicum</w:t>
      </w:r>
      <w:r w:rsidRPr="008535CC">
        <w:rPr>
          <w:rFonts w:ascii="Times New Roman" w:eastAsia="Calibri" w:hAnsi="Times New Roman" w:cs="Times New Roman"/>
          <w:sz w:val="24"/>
          <w:szCs w:val="24"/>
        </w:rPr>
        <w:t xml:space="preserve">, 94 F.4th at 893 (“No private citizen enjoys the privilege to advance or frustrate legislative action directly in the legislature . . . . The use of that power [(the walk out)] therefore implicates the ‘governmental mechanics’ of the legislative process, and </w:t>
      </w:r>
      <w:r w:rsidRPr="008535CC">
        <w:rPr>
          <w:rFonts w:ascii="Times New Roman" w:eastAsia="Calibri" w:hAnsi="Times New Roman" w:cs="Times New Roman"/>
          <w:i/>
          <w:iCs/>
          <w:sz w:val="24"/>
          <w:szCs w:val="24"/>
        </w:rPr>
        <w:t xml:space="preserve">Carrigan </w:t>
      </w:r>
      <w:r w:rsidRPr="008535CC">
        <w:rPr>
          <w:rFonts w:ascii="Times New Roman" w:eastAsia="Calibri" w:hAnsi="Times New Roman" w:cs="Times New Roman"/>
          <w:sz w:val="24"/>
          <w:szCs w:val="24"/>
        </w:rPr>
        <w:t xml:space="preserve">makes clear that a legislator has no right under the First Amendment to use that official </w:t>
      </w:r>
      <w:r w:rsidRPr="008535CC">
        <w:rPr>
          <w:rFonts w:ascii="Times New Roman" w:eastAsia="Calibri" w:hAnsi="Times New Roman" w:cs="Times New Roman"/>
          <w:sz w:val="24"/>
          <w:szCs w:val="24"/>
        </w:rPr>
        <w:lastRenderedPageBreak/>
        <w:t xml:space="preserve">power for expressive purposes.”) (quoting </w:t>
      </w:r>
      <w:r w:rsidRPr="008535CC">
        <w:rPr>
          <w:rFonts w:ascii="Times New Roman" w:eastAsia="Calibri" w:hAnsi="Times New Roman" w:cs="Times New Roman"/>
          <w:i/>
          <w:iCs/>
          <w:sz w:val="24"/>
          <w:szCs w:val="24"/>
        </w:rPr>
        <w:t>Carrigan</w:t>
      </w:r>
      <w:r w:rsidRPr="008535CC">
        <w:rPr>
          <w:rFonts w:ascii="Times New Roman" w:eastAsia="Calibri" w:hAnsi="Times New Roman" w:cs="Times New Roman"/>
          <w:sz w:val="24"/>
          <w:szCs w:val="24"/>
        </w:rPr>
        <w:t xml:space="preserve">, 564 U.S. at 127)); </w:t>
      </w:r>
      <w:r w:rsidRPr="008535CC">
        <w:rPr>
          <w:rFonts w:ascii="Times New Roman" w:eastAsia="Calibri" w:hAnsi="Times New Roman" w:cs="Times New Roman"/>
          <w:i/>
          <w:iCs/>
          <w:sz w:val="24"/>
          <w:szCs w:val="24"/>
        </w:rPr>
        <w:t>see also</w:t>
      </w:r>
      <w:r w:rsidRPr="008535CC">
        <w:rPr>
          <w:rFonts w:ascii="Times New Roman" w:eastAsia="Calibri" w:hAnsi="Times New Roman" w:cs="Times New Roman"/>
          <w:sz w:val="24"/>
          <w:szCs w:val="24"/>
        </w:rPr>
        <w:t xml:space="preserve"> </w:t>
      </w:r>
      <w:r w:rsidRPr="008535CC">
        <w:rPr>
          <w:rFonts w:ascii="Times New Roman" w:eastAsia="Calibri" w:hAnsi="Times New Roman" w:cs="Times New Roman"/>
          <w:i/>
          <w:iCs/>
          <w:sz w:val="24"/>
          <w:szCs w:val="24"/>
        </w:rPr>
        <w:t>Sullivan v. Univ. of Washington</w:t>
      </w:r>
      <w:r w:rsidRPr="008535CC">
        <w:rPr>
          <w:rFonts w:ascii="Times New Roman" w:eastAsia="Calibri" w:hAnsi="Times New Roman" w:cs="Times New Roman"/>
          <w:sz w:val="24"/>
          <w:szCs w:val="24"/>
        </w:rPr>
        <w:t>, 60 F.4th 574, 581-82 (9th Cir. 2023) (</w:t>
      </w:r>
      <w:r w:rsidRPr="008535CC">
        <w:rPr>
          <w:rFonts w:ascii="Times New Roman" w:eastAsia="Calibri" w:hAnsi="Times New Roman" w:cs="Times New Roman"/>
          <w:sz w:val="24"/>
          <w:szCs w:val="24"/>
          <w:lang w:val="en-CA"/>
        </w:rPr>
        <w:fldChar w:fldCharType="begin"/>
      </w:r>
      <w:r w:rsidRPr="008535CC">
        <w:rPr>
          <w:rFonts w:ascii="Times New Roman" w:eastAsia="Calibri" w:hAnsi="Times New Roman" w:cs="Times New Roman"/>
          <w:sz w:val="24"/>
          <w:szCs w:val="24"/>
          <w:lang w:val="en-CA"/>
        </w:rPr>
        <w:instrText xml:space="preserve"> SEQ CHAPTER \h \r 1</w:instrText>
      </w:r>
      <w:r w:rsidRPr="008535CC">
        <w:rPr>
          <w:rFonts w:ascii="Times New Roman" w:eastAsia="Calibri" w:hAnsi="Times New Roman" w:cs="Times New Roman"/>
          <w:sz w:val="24"/>
          <w:szCs w:val="24"/>
        </w:rPr>
        <w:fldChar w:fldCharType="end"/>
      </w:r>
      <w:r w:rsidRPr="008535CC">
        <w:rPr>
          <w:rFonts w:ascii="Times New Roman" w:eastAsia="Calibri" w:hAnsi="Times New Roman" w:cs="Times New Roman"/>
          <w:sz w:val="24"/>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p>
    <w:p w14:paraId="34FC01AE" w14:textId="77777777" w:rsidR="000007A3" w:rsidRPr="00AA6DB3" w:rsidRDefault="000007A3" w:rsidP="00AA6DB3">
      <w:pPr>
        <w:autoSpaceDE w:val="0"/>
        <w:autoSpaceDN w:val="0"/>
        <w:adjustRightInd w:val="0"/>
        <w:spacing w:after="0" w:line="240" w:lineRule="auto"/>
        <w:rPr>
          <w:rFonts w:ascii="Times New Roman" w:hAnsi="Times New Roman" w:cs="Times New Roman"/>
          <w:sz w:val="24"/>
          <w:szCs w:val="24"/>
        </w:rPr>
      </w:pPr>
    </w:p>
    <w:p w14:paraId="7FC3326A" w14:textId="77777777" w:rsidR="00AA6DB3" w:rsidRPr="00AA6DB3" w:rsidRDefault="00AA6DB3" w:rsidP="00AA6DB3">
      <w:pPr>
        <w:autoSpaceDE w:val="0"/>
        <w:autoSpaceDN w:val="0"/>
        <w:adjustRightInd w:val="0"/>
        <w:spacing w:after="0" w:line="240" w:lineRule="auto"/>
        <w:rPr>
          <w:rFonts w:ascii="Times New Roman" w:hAnsi="Times New Roman" w:cs="Times New Roman"/>
          <w:sz w:val="24"/>
          <w:szCs w:val="24"/>
        </w:rPr>
      </w:pPr>
    </w:p>
    <w:p w14:paraId="7E720A4F" w14:textId="3B860646" w:rsidR="00AA6DB3" w:rsidRPr="00AA6DB3" w:rsidRDefault="00AA6DB3" w:rsidP="00AA6DB3">
      <w:pPr>
        <w:autoSpaceDE w:val="0"/>
        <w:autoSpaceDN w:val="0"/>
        <w:adjustRightInd w:val="0"/>
        <w:spacing w:after="0" w:line="240" w:lineRule="auto"/>
        <w:jc w:val="right"/>
        <w:rPr>
          <w:rFonts w:ascii="Times New Roman" w:hAnsi="Times New Roman" w:cs="Times New Roman"/>
          <w:sz w:val="24"/>
          <w:szCs w:val="24"/>
        </w:rPr>
      </w:pPr>
      <w:r w:rsidRPr="00AA6DB3">
        <w:rPr>
          <w:rFonts w:ascii="Times New Roman" w:hAnsi="Times New Roman" w:cs="Times New Roman"/>
          <w:i/>
          <w:iCs/>
          <w:sz w:val="24"/>
          <w:szCs w:val="24"/>
        </w:rPr>
        <w:t xml:space="preserve">Revised </w:t>
      </w:r>
      <w:r w:rsidR="006D5E26">
        <w:rPr>
          <w:rFonts w:ascii="Times New Roman" w:hAnsi="Times New Roman" w:cs="Times New Roman"/>
          <w:i/>
          <w:iCs/>
          <w:sz w:val="24"/>
          <w:szCs w:val="24"/>
        </w:rPr>
        <w:t>September 2025</w:t>
      </w:r>
    </w:p>
    <w:p w14:paraId="4DBE14B6" w14:textId="77777777" w:rsidR="00FE7F82" w:rsidRDefault="00FE7F82"/>
    <w:sectPr w:rsidR="00FE7F82" w:rsidSect="00AA6DB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B3"/>
    <w:rsid w:val="000007A3"/>
    <w:rsid w:val="00060E91"/>
    <w:rsid w:val="000B4CE9"/>
    <w:rsid w:val="000E62B0"/>
    <w:rsid w:val="001415BE"/>
    <w:rsid w:val="001C00D0"/>
    <w:rsid w:val="002C2BB8"/>
    <w:rsid w:val="00341EF6"/>
    <w:rsid w:val="003971A1"/>
    <w:rsid w:val="003E0508"/>
    <w:rsid w:val="00405201"/>
    <w:rsid w:val="00491449"/>
    <w:rsid w:val="004A7A5A"/>
    <w:rsid w:val="004D7F46"/>
    <w:rsid w:val="0055644C"/>
    <w:rsid w:val="00623AE7"/>
    <w:rsid w:val="006D5E26"/>
    <w:rsid w:val="00725CEC"/>
    <w:rsid w:val="00741AE3"/>
    <w:rsid w:val="007A64D2"/>
    <w:rsid w:val="007E26F8"/>
    <w:rsid w:val="00845491"/>
    <w:rsid w:val="00846641"/>
    <w:rsid w:val="008535CC"/>
    <w:rsid w:val="00887257"/>
    <w:rsid w:val="00920AE5"/>
    <w:rsid w:val="00925542"/>
    <w:rsid w:val="00937D02"/>
    <w:rsid w:val="009A4372"/>
    <w:rsid w:val="009F7E2A"/>
    <w:rsid w:val="00A632EC"/>
    <w:rsid w:val="00AA6DB3"/>
    <w:rsid w:val="00AF2718"/>
    <w:rsid w:val="00B6476A"/>
    <w:rsid w:val="00C333AE"/>
    <w:rsid w:val="00C77365"/>
    <w:rsid w:val="00E575C0"/>
    <w:rsid w:val="00F11ACA"/>
    <w:rsid w:val="00F66190"/>
    <w:rsid w:val="00F95AF2"/>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1D47"/>
  <w15:chartTrackingRefBased/>
  <w15:docId w15:val="{4C5BD66B-3061-4162-897C-D5003965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6476A"/>
    <w:pPr>
      <w:spacing w:after="0" w:line="240" w:lineRule="auto"/>
    </w:pPr>
  </w:style>
  <w:style w:type="paragraph" w:styleId="BodyText">
    <w:name w:val="Body Text"/>
    <w:basedOn w:val="Normal"/>
    <w:link w:val="BodyTextChar"/>
    <w:uiPriority w:val="99"/>
    <w:semiHidden/>
    <w:unhideWhenUsed/>
    <w:rsid w:val="00741AE3"/>
    <w:pPr>
      <w:spacing w:after="120"/>
    </w:pPr>
  </w:style>
  <w:style w:type="character" w:customStyle="1" w:styleId="BodyTextChar">
    <w:name w:val="Body Text Char"/>
    <w:basedOn w:val="DefaultParagraphFont"/>
    <w:link w:val="BodyText"/>
    <w:uiPriority w:val="99"/>
    <w:semiHidden/>
    <w:rsid w:val="0074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13</cp:revision>
  <dcterms:created xsi:type="dcterms:W3CDTF">2024-02-05T03:23:00Z</dcterms:created>
  <dcterms:modified xsi:type="dcterms:W3CDTF">2026-03-12T15:51:00Z</dcterms:modified>
</cp:coreProperties>
</file>