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6515" w14:textId="77777777" w:rsidR="001E4BC8" w:rsidRPr="00771CA2" w:rsidRDefault="001E4BC8" w:rsidP="001E4BC8">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08"/>
      <w:r w:rsidRPr="00771CA2">
        <w:rPr>
          <w:rFonts w:ascii="Times New Roman" w:hAnsi="Times New Roman" w:cs="Times New Roman"/>
          <w:b/>
          <w:bCs/>
          <w:sz w:val="24"/>
          <w:szCs w:val="24"/>
        </w:rPr>
        <w:t>9.11 Particular Rights—First Amendment— “Citizen” P</w:t>
      </w:r>
      <w:bookmarkEnd w:id="0"/>
      <w:r w:rsidRPr="00771CA2">
        <w:rPr>
          <w:rFonts w:ascii="Times New Roman" w:hAnsi="Times New Roman" w:cs="Times New Roman"/>
          <w:b/>
          <w:bCs/>
          <w:sz w:val="24"/>
          <w:szCs w:val="24"/>
        </w:rPr>
        <w:t>laintiff</w:t>
      </w:r>
    </w:p>
    <w:p w14:paraId="1953AB27"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39D9BD74"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b/>
          <w:bCs/>
          <w:sz w:val="24"/>
          <w:szCs w:val="24"/>
        </w:rPr>
        <w:tab/>
      </w:r>
      <w:r w:rsidRPr="00771CA2">
        <w:rPr>
          <w:rFonts w:ascii="Times New Roman" w:hAnsi="Times New Roman" w:cs="Times New Roman"/>
          <w:sz w:val="24"/>
          <w:szCs w:val="24"/>
        </w:rPr>
        <w:t>As previously explained, the plaintiff has the burden of proving that the act[s] of the defendant [</w:t>
      </w:r>
      <w:r w:rsidRPr="00771CA2">
        <w:rPr>
          <w:rFonts w:ascii="Times New Roman" w:hAnsi="Times New Roman" w:cs="Times New Roman"/>
          <w:i/>
          <w:iCs/>
          <w:sz w:val="24"/>
          <w:szCs w:val="24"/>
          <w:u w:val="single"/>
        </w:rPr>
        <w:t>name</w:t>
      </w:r>
      <w:r w:rsidRPr="00771CA2">
        <w:rPr>
          <w:rFonts w:ascii="Times New Roman" w:hAnsi="Times New Roman" w:cs="Times New Roman"/>
          <w:sz w:val="24"/>
          <w:szCs w:val="24"/>
        </w:rPr>
        <w:t xml:space="preserve">] deprived the plaintiff of </w:t>
      </w:r>
      <w:proofErr w:type="gramStart"/>
      <w:r w:rsidRPr="00771CA2">
        <w:rPr>
          <w:rFonts w:ascii="Times New Roman" w:hAnsi="Times New Roman" w:cs="Times New Roman"/>
          <w:sz w:val="24"/>
          <w:szCs w:val="24"/>
        </w:rPr>
        <w:t>particular rights</w:t>
      </w:r>
      <w:proofErr w:type="gramEnd"/>
      <w:r w:rsidRPr="00771CA2">
        <w:rPr>
          <w:rFonts w:ascii="Times New Roman" w:hAnsi="Times New Roman" w:cs="Times New Roman"/>
          <w:sz w:val="24"/>
          <w:szCs w:val="24"/>
        </w:rPr>
        <w:t xml:space="preserve"> under the United States Constitution.  In this case, the plaintiff alleges the defendant deprived [him] [her] of [his] [her] rights under the First Amendment to the Constitution when [</w:t>
      </w:r>
      <w:r w:rsidRPr="00771CA2">
        <w:rPr>
          <w:rFonts w:ascii="Times New Roman" w:hAnsi="Times New Roman" w:cs="Times New Roman"/>
          <w:i/>
          <w:iCs/>
          <w:sz w:val="24"/>
          <w:szCs w:val="24"/>
          <w:u w:val="single"/>
        </w:rPr>
        <w:t>insert factual basis of the plaintiff’s claim</w:t>
      </w:r>
      <w:r w:rsidRPr="00771CA2">
        <w:rPr>
          <w:rFonts w:ascii="Times New Roman" w:hAnsi="Times New Roman" w:cs="Times New Roman"/>
          <w:sz w:val="24"/>
          <w:szCs w:val="24"/>
        </w:rPr>
        <w:t>].</w:t>
      </w:r>
    </w:p>
    <w:p w14:paraId="7145CD26"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1DDC2BFC"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Under the First Amendment, a citizen has the right [to free expression] [to petition the government] [to access the courts] [</w:t>
      </w:r>
      <w:r w:rsidRPr="00771CA2">
        <w:rPr>
          <w:rFonts w:ascii="Times New Roman" w:hAnsi="Times New Roman" w:cs="Times New Roman"/>
          <w:i/>
          <w:iCs/>
          <w:sz w:val="24"/>
          <w:szCs w:val="24"/>
          <w:u w:val="single"/>
        </w:rPr>
        <w:t>other applicable right</w:t>
      </w:r>
      <w:r w:rsidRPr="00771CA2">
        <w:rPr>
          <w:rFonts w:ascii="Times New Roman" w:hAnsi="Times New Roman" w:cs="Times New Roman"/>
          <w:sz w:val="24"/>
          <w:szCs w:val="24"/>
        </w:rPr>
        <w:t>].  To establish the defendant deprived the plaintiff of this First Amendment right, the plaintiff must prove the following additional elements by a preponderance of the evidence:</w:t>
      </w:r>
    </w:p>
    <w:p w14:paraId="22901BB8" w14:textId="77777777" w:rsidR="001E4BC8" w:rsidRPr="00771CA2" w:rsidRDefault="001E4BC8" w:rsidP="001E4BC8">
      <w:pPr>
        <w:spacing w:after="0" w:line="240" w:lineRule="auto"/>
        <w:rPr>
          <w:rFonts w:ascii="Times New Roman" w:hAnsi="Times New Roman"/>
          <w:sz w:val="24"/>
        </w:rPr>
      </w:pPr>
    </w:p>
    <w:p w14:paraId="0D842C07" w14:textId="77777777" w:rsidR="001E4BC8" w:rsidRPr="00771CA2"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1.</w:t>
      </w:r>
      <w:r w:rsidRPr="00771CA2">
        <w:rPr>
          <w:rFonts w:ascii="Times New Roman" w:hAnsi="Times New Roman" w:cs="Times New Roman"/>
          <w:sz w:val="24"/>
          <w:szCs w:val="24"/>
        </w:rPr>
        <w:tab/>
        <w:t xml:space="preserve">the plaintiff was engaged in a constitutionally protected </w:t>
      </w:r>
      <w:proofErr w:type="gramStart"/>
      <w:r w:rsidRPr="00771CA2">
        <w:rPr>
          <w:rFonts w:ascii="Times New Roman" w:hAnsi="Times New Roman" w:cs="Times New Roman"/>
          <w:sz w:val="24"/>
          <w:szCs w:val="24"/>
        </w:rPr>
        <w:t>activity;</w:t>
      </w:r>
      <w:proofErr w:type="gramEnd"/>
    </w:p>
    <w:p w14:paraId="2299B547" w14:textId="77777777" w:rsidR="001E4BC8" w:rsidRPr="00771CA2"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p>
    <w:p w14:paraId="7DCC2920" w14:textId="77777777" w:rsidR="001E4BC8" w:rsidRPr="00771CA2"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2.</w:t>
      </w:r>
      <w:r w:rsidRPr="00771CA2">
        <w:rPr>
          <w:rFonts w:ascii="Times New Roman" w:hAnsi="Times New Roman" w:cs="Times New Roman"/>
          <w:sz w:val="24"/>
          <w:szCs w:val="24"/>
        </w:rPr>
        <w:tab/>
        <w:t xml:space="preserve">the defendant’s actions against the plaintiff would chill a person of ordinary firmness from continuing to engage in the protected activity; and </w:t>
      </w:r>
    </w:p>
    <w:p w14:paraId="1C52A3A4" w14:textId="77777777" w:rsidR="001E4BC8" w:rsidRPr="00771CA2"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p>
    <w:p w14:paraId="295C9D87" w14:textId="77777777" w:rsidR="001E4BC8" w:rsidRPr="00771CA2"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3.</w:t>
      </w:r>
      <w:r w:rsidRPr="00771CA2">
        <w:rPr>
          <w:rFonts w:ascii="Times New Roman" w:hAnsi="Times New Roman" w:cs="Times New Roman"/>
          <w:sz w:val="24"/>
          <w:szCs w:val="24"/>
        </w:rPr>
        <w:tab/>
        <w:t>the plaintiff’s protected activity was a substantial or motivating factor in the defendant’s conduct.</w:t>
      </w:r>
    </w:p>
    <w:p w14:paraId="6113FA70"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567B95F2"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[I instruct you that the plaintiff’s [speech in this case about [</w:t>
      </w:r>
      <w:r w:rsidRPr="00771CA2">
        <w:rPr>
          <w:rFonts w:ascii="Times New Roman" w:hAnsi="Times New Roman" w:cs="Times New Roman"/>
          <w:i/>
          <w:iCs/>
          <w:sz w:val="24"/>
          <w:szCs w:val="24"/>
          <w:u w:val="single"/>
        </w:rPr>
        <w:t>specify</w:t>
      </w:r>
      <w:r w:rsidRPr="00771CA2">
        <w:rPr>
          <w:rFonts w:ascii="Times New Roman" w:hAnsi="Times New Roman" w:cs="Times New Roman"/>
          <w:sz w:val="24"/>
          <w:szCs w:val="24"/>
        </w:rPr>
        <w:t>]] [</w:t>
      </w:r>
      <w:r w:rsidRPr="00771CA2">
        <w:rPr>
          <w:rFonts w:ascii="Times New Roman" w:hAnsi="Times New Roman" w:cs="Times New Roman"/>
          <w:i/>
          <w:iCs/>
          <w:sz w:val="24"/>
          <w:szCs w:val="24"/>
          <w:u w:val="single"/>
        </w:rPr>
        <w:t>specify conduct</w:t>
      </w:r>
      <w:r w:rsidRPr="00771CA2">
        <w:rPr>
          <w:rFonts w:ascii="Times New Roman" w:hAnsi="Times New Roman" w:cs="Times New Roman"/>
          <w:sz w:val="24"/>
          <w:szCs w:val="24"/>
        </w:rPr>
        <w:t>] was protected under the First Amendment and, therefore, the first element requires no proof.]</w:t>
      </w:r>
    </w:p>
    <w:p w14:paraId="5E343709"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1430311C"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A substantial or motivating factor is a significant factor, though not necessarily the only factor.</w:t>
      </w:r>
    </w:p>
    <w:p w14:paraId="17D8B4AC"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6F97F87B" w14:textId="77777777" w:rsidR="001E4BC8" w:rsidRPr="00771CA2" w:rsidRDefault="001E4BC8" w:rsidP="001E4BC8">
      <w:pPr>
        <w:autoSpaceDE w:val="0"/>
        <w:autoSpaceDN w:val="0"/>
        <w:adjustRightInd w:val="0"/>
        <w:spacing w:after="0" w:line="240" w:lineRule="auto"/>
        <w:jc w:val="center"/>
        <w:rPr>
          <w:rFonts w:ascii="Times New Roman" w:hAnsi="Times New Roman" w:cs="Times New Roman"/>
          <w:b/>
          <w:bCs/>
          <w:sz w:val="24"/>
          <w:szCs w:val="24"/>
        </w:rPr>
      </w:pPr>
      <w:r w:rsidRPr="00771CA2">
        <w:rPr>
          <w:rFonts w:ascii="Times New Roman" w:hAnsi="Times New Roman" w:cs="Times New Roman"/>
          <w:b/>
          <w:bCs/>
          <w:sz w:val="24"/>
          <w:szCs w:val="24"/>
        </w:rPr>
        <w:t>Comment</w:t>
      </w:r>
    </w:p>
    <w:p w14:paraId="34248A42"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78D8DE50"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Use this instruction only in conjunction with the applicable </w:t>
      </w:r>
      <w:proofErr w:type="gramStart"/>
      <w:r w:rsidRPr="00771CA2">
        <w:rPr>
          <w:rFonts w:ascii="Times New Roman" w:hAnsi="Times New Roman" w:cs="Times New Roman"/>
          <w:sz w:val="24"/>
          <w:szCs w:val="24"/>
        </w:rPr>
        <w:t>elements</w:t>
      </w:r>
      <w:proofErr w:type="gramEnd"/>
      <w:r w:rsidRPr="00771CA2">
        <w:rPr>
          <w:rFonts w:ascii="Times New Roman" w:hAnsi="Times New Roman" w:cs="Times New Roman"/>
          <w:sz w:val="24"/>
          <w:szCs w:val="24"/>
        </w:rPr>
        <w:t xml:space="preserve"> instructions, Instructions 9.3–9.8, and when the plaintiff is a private citizen.  Use Instruction 9.9 (Particular Rights—First Amendment—Public Employees—Speech</w:t>
      </w:r>
      <w:r w:rsidRPr="00771CA2">
        <w:rPr>
          <w:rFonts w:ascii="Times New Roman" w:hAnsi="Times New Roman" w:cs="Times New Roman"/>
          <w:b/>
          <w:bCs/>
          <w:sz w:val="24"/>
          <w:szCs w:val="24"/>
        </w:rPr>
        <w:t xml:space="preserve">) </w:t>
      </w:r>
      <w:r w:rsidRPr="00771CA2">
        <w:rPr>
          <w:rFonts w:ascii="Times New Roman" w:hAnsi="Times New Roman" w:cs="Times New Roman"/>
          <w:sz w:val="24"/>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771CA2">
        <w:rPr>
          <w:rFonts w:ascii="Times New Roman" w:hAnsi="Times New Roman" w:cs="Times New Roman"/>
          <w:i/>
          <w:iCs/>
          <w:sz w:val="24"/>
          <w:szCs w:val="24"/>
        </w:rPr>
        <w:t>See Clem v. Lomeli</w:t>
      </w:r>
      <w:r w:rsidRPr="00771CA2">
        <w:rPr>
          <w:rFonts w:ascii="Times New Roman" w:hAnsi="Times New Roman" w:cs="Times New Roman"/>
          <w:sz w:val="24"/>
          <w:szCs w:val="24"/>
        </w:rPr>
        <w:t>, 566 F.3d 1177, 1181-82 (9th Cir. 2009).</w:t>
      </w:r>
    </w:p>
    <w:p w14:paraId="32D5A92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49C84F4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proofErr w:type="spellStart"/>
      <w:r w:rsidRPr="00771CA2">
        <w:rPr>
          <w:rFonts w:ascii="Times New Roman" w:hAnsi="Times New Roman" w:cs="Times New Roman"/>
          <w:i/>
          <w:iCs/>
          <w:sz w:val="24"/>
          <w:szCs w:val="24"/>
        </w:rPr>
        <w:t>Sloman</w:t>
      </w:r>
      <w:proofErr w:type="spellEnd"/>
      <w:r w:rsidRPr="00771CA2">
        <w:rPr>
          <w:rFonts w:ascii="Times New Roman" w:hAnsi="Times New Roman" w:cs="Times New Roman"/>
          <w:i/>
          <w:iCs/>
          <w:sz w:val="24"/>
          <w:szCs w:val="24"/>
        </w:rPr>
        <w:t xml:space="preserve"> v. Tadlock, </w:t>
      </w:r>
      <w:r w:rsidRPr="00771CA2">
        <w:rPr>
          <w:rFonts w:ascii="Times New Roman" w:hAnsi="Times New Roman" w:cs="Times New Roman"/>
          <w:sz w:val="24"/>
          <w:szCs w:val="24"/>
        </w:rPr>
        <w:t xml:space="preserve">21 F.3d 1462, 1469-70 (9th Cir. 1994).  “Although officials may constitutionally impose time, place, and manner restrictions on political expression carried out on sidewalks and median strips, they may not ‘discriminate in the regulation of expression </w:t>
      </w:r>
      <w:proofErr w:type="gramStart"/>
      <w:r w:rsidRPr="00771CA2">
        <w:rPr>
          <w:rFonts w:ascii="Times New Roman" w:hAnsi="Times New Roman" w:cs="Times New Roman"/>
          <w:sz w:val="24"/>
          <w:szCs w:val="24"/>
        </w:rPr>
        <w:t>on the basis of</w:t>
      </w:r>
      <w:proofErr w:type="gramEnd"/>
      <w:r w:rsidRPr="00771CA2">
        <w:rPr>
          <w:rFonts w:ascii="Times New Roman" w:hAnsi="Times New Roman" w:cs="Times New Roman"/>
          <w:sz w:val="24"/>
          <w:szCs w:val="24"/>
        </w:rPr>
        <w:t xml:space="preserve"> content of that expression.’  State action designed to retaliate against, and chill political expression strikes at the very heart of the First Amendment.”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(citations omitted).  </w:t>
      </w:r>
    </w:p>
    <w:p w14:paraId="24975E5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5E0C1FBA"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However, “members of the public do not have a constitutional right to force the </w:t>
      </w:r>
    </w:p>
    <w:p w14:paraId="122A0BC6"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lastRenderedPageBreak/>
        <w:t>government to listen to their views...[a]</w:t>
      </w:r>
      <w:proofErr w:type="spellStart"/>
      <w:r w:rsidRPr="00771CA2">
        <w:rPr>
          <w:rFonts w:ascii="Times New Roman" w:hAnsi="Times New Roman" w:cs="Times New Roman"/>
          <w:sz w:val="24"/>
          <w:szCs w:val="24"/>
        </w:rPr>
        <w:t>nd</w:t>
      </w:r>
      <w:proofErr w:type="spellEnd"/>
      <w:r w:rsidRPr="00771CA2">
        <w:rPr>
          <w:rFonts w:ascii="Times New Roman" w:hAnsi="Times New Roman" w:cs="Times New Roman"/>
          <w:sz w:val="24"/>
          <w:szCs w:val="24"/>
        </w:rPr>
        <w:t xml:space="preserve"> the First Amendment does not compel the government to respond to speech directed toward it (citations omitted).” </w:t>
      </w:r>
      <w:r w:rsidRPr="00771CA2">
        <w:rPr>
          <w:rFonts w:ascii="Times New Roman" w:hAnsi="Times New Roman" w:cs="Times New Roman"/>
          <w:i/>
          <w:iCs/>
          <w:sz w:val="24"/>
          <w:szCs w:val="24"/>
        </w:rPr>
        <w:t>L.F. v. Lake Washington School District #414</w:t>
      </w:r>
      <w:r w:rsidRPr="00771CA2">
        <w:rPr>
          <w:rFonts w:ascii="Times New Roman" w:hAnsi="Times New Roman" w:cs="Times New Roman"/>
          <w:sz w:val="24"/>
          <w:szCs w:val="24"/>
        </w:rPr>
        <w:t xml:space="preserve">, 947 F.3d 621, 626 (9th Cir. 2020). </w:t>
      </w:r>
    </w:p>
    <w:p w14:paraId="72125F4D"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45DF0BE7"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(quoting </w:t>
      </w:r>
      <w:r w:rsidRPr="00771CA2">
        <w:rPr>
          <w:rFonts w:ascii="Times New Roman" w:hAnsi="Times New Roman" w:cs="Times New Roman"/>
          <w:i/>
          <w:iCs/>
          <w:sz w:val="24"/>
          <w:szCs w:val="24"/>
        </w:rPr>
        <w:t xml:space="preserve">Mendocino </w:t>
      </w:r>
      <w:proofErr w:type="spellStart"/>
      <w:r w:rsidRPr="00771CA2">
        <w:rPr>
          <w:rFonts w:ascii="Times New Roman" w:hAnsi="Times New Roman" w:cs="Times New Roman"/>
          <w:i/>
          <w:iCs/>
          <w:sz w:val="24"/>
          <w:szCs w:val="24"/>
        </w:rPr>
        <w:t>Env’l</w:t>
      </w:r>
      <w:proofErr w:type="spellEnd"/>
      <w:r w:rsidRPr="00771CA2">
        <w:rPr>
          <w:rFonts w:ascii="Times New Roman" w:hAnsi="Times New Roman" w:cs="Times New Roman"/>
          <w:i/>
          <w:iCs/>
          <w:sz w:val="24"/>
          <w:szCs w:val="24"/>
        </w:rPr>
        <w:t xml:space="preserve"> Ctr. v. Mendocino County</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14 F.3d 457, 459-60 (9th Cir. 1994).  Defining “substantial or motivating factor” as a “significant factor” does not misstate the law.  </w:t>
      </w:r>
      <w:proofErr w:type="spellStart"/>
      <w:r w:rsidRPr="00771CA2">
        <w:rPr>
          <w:rFonts w:ascii="Times New Roman" w:hAnsi="Times New Roman" w:cs="Times New Roman"/>
          <w:i/>
          <w:iCs/>
          <w:sz w:val="24"/>
          <w:szCs w:val="24"/>
        </w:rPr>
        <w:t>Ostad</w:t>
      </w:r>
      <w:proofErr w:type="spellEnd"/>
      <w:r w:rsidRPr="00771CA2">
        <w:rPr>
          <w:rFonts w:ascii="Times New Roman" w:hAnsi="Times New Roman" w:cs="Times New Roman"/>
          <w:i/>
          <w:iCs/>
          <w:sz w:val="24"/>
          <w:szCs w:val="24"/>
        </w:rPr>
        <w:t xml:space="preserve"> v. Or. Health </w:t>
      </w:r>
      <w:proofErr w:type="spellStart"/>
      <w:r w:rsidRPr="00771CA2">
        <w:rPr>
          <w:rFonts w:ascii="Times New Roman" w:hAnsi="Times New Roman" w:cs="Times New Roman"/>
          <w:i/>
          <w:iCs/>
          <w:sz w:val="24"/>
          <w:szCs w:val="24"/>
        </w:rPr>
        <w:t>Scis</w:t>
      </w:r>
      <w:proofErr w:type="spellEnd"/>
      <w:r w:rsidRPr="00771CA2">
        <w:rPr>
          <w:rFonts w:ascii="Times New Roman" w:hAnsi="Times New Roman" w:cs="Times New Roman"/>
          <w:i/>
          <w:iCs/>
          <w:sz w:val="24"/>
          <w:szCs w:val="24"/>
        </w:rPr>
        <w:t>. Univ.</w:t>
      </w:r>
      <w:r w:rsidRPr="00771CA2">
        <w:rPr>
          <w:rFonts w:ascii="Times New Roman" w:hAnsi="Times New Roman" w:cs="Times New Roman"/>
          <w:sz w:val="24"/>
          <w:szCs w:val="24"/>
        </w:rPr>
        <w:t xml:space="preserve">, 327 F.3d 876, 884-85 (9th Cir. 2003); </w:t>
      </w:r>
      <w:r w:rsidRPr="00771CA2">
        <w:rPr>
          <w:rFonts w:ascii="Times New Roman" w:hAnsi="Times New Roman" w:cs="Times New Roman"/>
          <w:i/>
          <w:iCs/>
          <w:sz w:val="24"/>
          <w:szCs w:val="24"/>
        </w:rPr>
        <w:t>see also Capp v. City of San Diego</w:t>
      </w:r>
      <w:r w:rsidRPr="00771CA2">
        <w:rPr>
          <w:rFonts w:ascii="Times New Roman" w:hAnsi="Times New Roman" w:cs="Times New Roman"/>
          <w:sz w:val="24"/>
          <w:szCs w:val="24"/>
        </w:rPr>
        <w:t>, 940 F.3d 1046, 1056 (9th Cir. 2019) (explaining that retaliatory intent may still be one substantial or motivating factor for retaliatory conduct even if other, non-retaliatory reasons exist).  A plaintiff need not prove, however,</w:t>
      </w:r>
      <w:r w:rsidRPr="00771CA2">
        <w:rPr>
          <w:rFonts w:ascii="Times New Roman" w:hAnsi="Times New Roman" w:cs="Times New Roman"/>
          <w:b/>
          <w:bCs/>
          <w:sz w:val="24"/>
          <w:szCs w:val="24"/>
        </w:rPr>
        <w:t xml:space="preserve"> </w:t>
      </w:r>
      <w:r w:rsidRPr="00771CA2">
        <w:rPr>
          <w:rFonts w:ascii="Times New Roman" w:hAnsi="Times New Roman" w:cs="Times New Roman"/>
          <w:sz w:val="24"/>
          <w:szCs w:val="24"/>
        </w:rPr>
        <w:t xml:space="preserve">that “his speech was actually inhibited or suppressed.”  </w:t>
      </w:r>
      <w:r w:rsidRPr="00771CA2">
        <w:rPr>
          <w:rFonts w:ascii="Times New Roman" w:hAnsi="Times New Roman" w:cs="Times New Roman"/>
          <w:i/>
          <w:iCs/>
          <w:sz w:val="24"/>
          <w:szCs w:val="24"/>
        </w:rPr>
        <w:t xml:space="preserve">Mendocino </w:t>
      </w:r>
      <w:proofErr w:type="spellStart"/>
      <w:r w:rsidRPr="00771CA2">
        <w:rPr>
          <w:rFonts w:ascii="Times New Roman" w:hAnsi="Times New Roman" w:cs="Times New Roman"/>
          <w:i/>
          <w:iCs/>
          <w:sz w:val="24"/>
          <w:szCs w:val="24"/>
        </w:rPr>
        <w:t>Env’l</w:t>
      </w:r>
      <w:proofErr w:type="spellEnd"/>
      <w:r w:rsidRPr="00771CA2">
        <w:rPr>
          <w:rFonts w:ascii="Times New Roman" w:hAnsi="Times New Roman" w:cs="Times New Roman"/>
          <w:i/>
          <w:iCs/>
          <w:sz w:val="24"/>
          <w:szCs w:val="24"/>
        </w:rPr>
        <w:t xml:space="preserve"> Ctr.</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192 F.3d at 1288;</w:t>
      </w:r>
      <w:r w:rsidRPr="00771CA2">
        <w:rPr>
          <w:rFonts w:ascii="Times New Roman" w:hAnsi="Times New Roman" w:cs="Times New Roman"/>
          <w:i/>
          <w:iCs/>
          <w:sz w:val="24"/>
          <w:szCs w:val="24"/>
        </w:rPr>
        <w:t xml:space="preserve"> see also</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 xml:space="preserve">Ariz. Students’ </w:t>
      </w:r>
      <w:proofErr w:type="spellStart"/>
      <w:r w:rsidRPr="00771CA2">
        <w:rPr>
          <w:rFonts w:ascii="Times New Roman" w:hAnsi="Times New Roman" w:cs="Times New Roman"/>
          <w:i/>
          <w:iCs/>
          <w:sz w:val="24"/>
          <w:szCs w:val="24"/>
        </w:rPr>
        <w:t>Ass’n</w:t>
      </w:r>
      <w:proofErr w:type="spellEnd"/>
      <w:r w:rsidRPr="00771CA2">
        <w:rPr>
          <w:rFonts w:ascii="Times New Roman" w:hAnsi="Times New Roman" w:cs="Times New Roman"/>
          <w:i/>
          <w:iCs/>
          <w:sz w:val="24"/>
          <w:szCs w:val="24"/>
        </w:rPr>
        <w:t xml:space="preserve"> v. Ariz. Bd. of Regents</w:t>
      </w:r>
      <w:r w:rsidRPr="00771CA2">
        <w:rPr>
          <w:rFonts w:ascii="Times New Roman" w:hAnsi="Times New Roman" w:cs="Times New Roman"/>
          <w:sz w:val="24"/>
          <w:szCs w:val="24"/>
        </w:rPr>
        <w:t xml:space="preserve">, 824 F.3d 858, 867 (9th Cir. 2016) (“A plaintiff may bring a Section 1983 claim alleging that public officials, acting in their official capacity, </w:t>
      </w:r>
      <w:proofErr w:type="gramStart"/>
      <w:r w:rsidRPr="00771CA2">
        <w:rPr>
          <w:rFonts w:ascii="Times New Roman" w:hAnsi="Times New Roman" w:cs="Times New Roman"/>
          <w:sz w:val="24"/>
          <w:szCs w:val="24"/>
        </w:rPr>
        <w:t>took action</w:t>
      </w:r>
      <w:proofErr w:type="gramEnd"/>
      <w:r w:rsidRPr="00771CA2">
        <w:rPr>
          <w:rFonts w:ascii="Times New Roman" w:hAnsi="Times New Roman" w:cs="Times New Roman"/>
          <w:sz w:val="24"/>
          <w:szCs w:val="24"/>
        </w:rPr>
        <w:t xml:space="preserve">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w:t>
      </w:r>
      <w:proofErr w:type="gramStart"/>
      <w:r w:rsidRPr="00771CA2">
        <w:rPr>
          <w:rFonts w:ascii="Times New Roman" w:hAnsi="Times New Roman" w:cs="Times New Roman"/>
          <w:sz w:val="24"/>
          <w:szCs w:val="24"/>
        </w:rPr>
        <w:t>actually suppressed</w:t>
      </w:r>
      <w:proofErr w:type="gramEnd"/>
      <w:r w:rsidRPr="00771CA2">
        <w:rPr>
          <w:rFonts w:ascii="Times New Roman" w:hAnsi="Times New Roman" w:cs="Times New Roman"/>
          <w:sz w:val="24"/>
          <w:szCs w:val="24"/>
        </w:rPr>
        <w:t xml:space="preserve"> or inhibited.” (</w:t>
      </w:r>
      <w:proofErr w:type="gramStart"/>
      <w:r w:rsidRPr="00771CA2">
        <w:rPr>
          <w:rFonts w:ascii="Times New Roman" w:hAnsi="Times New Roman" w:cs="Times New Roman"/>
          <w:sz w:val="24"/>
          <w:szCs w:val="24"/>
        </w:rPr>
        <w:t>citations</w:t>
      </w:r>
      <w:proofErr w:type="gramEnd"/>
      <w:r w:rsidRPr="00771CA2">
        <w:rPr>
          <w:rFonts w:ascii="Times New Roman" w:hAnsi="Times New Roman" w:cs="Times New Roman"/>
          <w:sz w:val="24"/>
          <w:szCs w:val="24"/>
        </w:rPr>
        <w:t xml:space="preserve"> omitted)).</w:t>
      </w:r>
    </w:p>
    <w:p w14:paraId="18D86B5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419BD5CE"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r>
      <w:r w:rsidRPr="00771CA2">
        <w:rPr>
          <w:rFonts w:ascii="Times New Roman" w:hAnsi="Times New Roman" w:cs="Times New Roman"/>
          <w:i/>
          <w:iCs/>
          <w:sz w:val="24"/>
          <w:szCs w:val="24"/>
        </w:rPr>
        <w:t>But see Sharp v. County of Orange</w:t>
      </w:r>
      <w:r w:rsidRPr="00771CA2">
        <w:rPr>
          <w:rFonts w:ascii="Times New Roman" w:hAnsi="Times New Roman" w:cs="Times New Roman"/>
          <w:sz w:val="24"/>
          <w:szCs w:val="24"/>
        </w:rPr>
        <w:t xml:space="preserve">, 871 F.3d 901, 919 (9th Cir. 2017) (applying but-for causation standard in summary judgment context); </w:t>
      </w:r>
      <w:r w:rsidRPr="00771CA2">
        <w:rPr>
          <w:rFonts w:ascii="Times New Roman" w:hAnsi="Times New Roman" w:cs="Times New Roman"/>
          <w:i/>
          <w:iCs/>
          <w:sz w:val="24"/>
          <w:szCs w:val="24"/>
        </w:rPr>
        <w:t>see also Skoog v. County of Clackamas</w:t>
      </w:r>
      <w:r w:rsidRPr="00771CA2">
        <w:rPr>
          <w:rFonts w:ascii="Times New Roman" w:hAnsi="Times New Roman" w:cs="Times New Roman"/>
          <w:sz w:val="24"/>
          <w:szCs w:val="24"/>
        </w:rPr>
        <w:t>, 469 F.3d 1221, 1231-32 (9th Cir. 2006).</w:t>
      </w:r>
    </w:p>
    <w:p w14:paraId="126625D1" w14:textId="77777777" w:rsidR="001E4BC8" w:rsidRPr="00771CA2" w:rsidRDefault="001E4BC8" w:rsidP="001E4BC8">
      <w:pPr>
        <w:autoSpaceDE w:val="0"/>
        <w:autoSpaceDN w:val="0"/>
        <w:adjustRightInd w:val="0"/>
        <w:spacing w:after="0" w:line="240" w:lineRule="auto"/>
        <w:rPr>
          <w:rFonts w:ascii="Times New Roman" w:hAnsi="Times New Roman" w:cs="Times New Roman"/>
          <w:i/>
          <w:iCs/>
          <w:sz w:val="24"/>
          <w:szCs w:val="24"/>
        </w:rPr>
      </w:pPr>
    </w:p>
    <w:p w14:paraId="73C57E91"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ab/>
      </w:r>
      <w:r w:rsidRPr="00771CA2">
        <w:rPr>
          <w:rFonts w:ascii="Times New Roman" w:hAnsi="Times New Roman" w:cs="Times New Roman"/>
          <w:sz w:val="24"/>
          <w:szCs w:val="24"/>
        </w:rPr>
        <w:t xml:space="preserve">In determining whether the First Amendment protects student speech in a public school, it is error to use the “public concern” standard applicable to actions brought by governmental employees.  </w:t>
      </w:r>
      <w:r w:rsidRPr="00771CA2">
        <w:rPr>
          <w:rFonts w:ascii="Times New Roman" w:hAnsi="Times New Roman" w:cs="Times New Roman"/>
          <w:i/>
          <w:iCs/>
          <w:sz w:val="24"/>
          <w:szCs w:val="24"/>
        </w:rPr>
        <w:t>Pinard v. Clatskanie Sch. Dist. 6J,</w:t>
      </w:r>
      <w:r w:rsidRPr="00771CA2">
        <w:rPr>
          <w:rFonts w:ascii="Times New Roman" w:hAnsi="Times New Roman" w:cs="Times New Roman"/>
          <w:sz w:val="24"/>
          <w:szCs w:val="24"/>
        </w:rPr>
        <w:t xml:space="preserve"> 467 F.3d 755, 759 (9th Cir. 2006).  Instead, the proper standard to apply to student speech is set forth in </w:t>
      </w:r>
      <w:r w:rsidRPr="00771CA2">
        <w:rPr>
          <w:rFonts w:ascii="Times New Roman" w:hAnsi="Times New Roman" w:cs="Times New Roman"/>
          <w:i/>
          <w:iCs/>
          <w:sz w:val="24"/>
          <w:szCs w:val="24"/>
        </w:rPr>
        <w:t>Tinker v. Des Moines Independent Community School District</w:t>
      </w:r>
      <w:r w:rsidRPr="00771CA2">
        <w:rPr>
          <w:rFonts w:ascii="Times New Roman" w:hAnsi="Times New Roman" w:cs="Times New Roman"/>
          <w:sz w:val="24"/>
          <w:szCs w:val="24"/>
        </w:rPr>
        <w:t>, 393 U.S. 503, 514 (1969)</w:t>
      </w:r>
      <w:r w:rsidRPr="00771CA2">
        <w:rPr>
          <w:rFonts w:ascii="Times New Roman" w:hAnsi="Times New Roman" w:cs="Times New Roman"/>
          <w:i/>
          <w:iCs/>
          <w:sz w:val="24"/>
          <w:szCs w:val="24"/>
        </w:rPr>
        <w:t>.  Pinard</w:t>
      </w:r>
      <w:r w:rsidRPr="00771CA2">
        <w:rPr>
          <w:rFonts w:ascii="Times New Roman" w:hAnsi="Times New Roman" w:cs="Times New Roman"/>
          <w:sz w:val="24"/>
          <w:szCs w:val="24"/>
        </w:rPr>
        <w:t xml:space="preserve">, 467 F.3d at 759; </w:t>
      </w:r>
      <w:r w:rsidRPr="00771CA2">
        <w:rPr>
          <w:rFonts w:ascii="Times New Roman" w:hAnsi="Times New Roman" w:cs="Times New Roman"/>
          <w:i/>
          <w:iCs/>
          <w:sz w:val="24"/>
          <w:szCs w:val="24"/>
        </w:rPr>
        <w:t xml:space="preserve">see also Ariz. Students’ </w:t>
      </w:r>
      <w:proofErr w:type="spellStart"/>
      <w:r w:rsidRPr="00771CA2">
        <w:rPr>
          <w:rFonts w:ascii="Times New Roman" w:hAnsi="Times New Roman" w:cs="Times New Roman"/>
          <w:i/>
          <w:iCs/>
          <w:sz w:val="24"/>
          <w:szCs w:val="24"/>
        </w:rPr>
        <w:t>Ass’n</w:t>
      </w:r>
      <w:proofErr w:type="spellEnd"/>
      <w:r w:rsidRPr="00771CA2">
        <w:rPr>
          <w:rFonts w:ascii="Times New Roman" w:hAnsi="Times New Roman" w:cs="Times New Roman"/>
          <w:sz w:val="24"/>
          <w:szCs w:val="24"/>
        </w:rPr>
        <w:t xml:space="preserve">, 824 F.3d at 867; </w:t>
      </w:r>
      <w:r w:rsidRPr="00771CA2">
        <w:rPr>
          <w:rFonts w:ascii="Times New Roman" w:hAnsi="Times New Roman" w:cs="Times New Roman"/>
          <w:i/>
          <w:iCs/>
          <w:sz w:val="24"/>
          <w:szCs w:val="24"/>
        </w:rPr>
        <w:t>O’Brien v. Welty</w:t>
      </w:r>
      <w:r w:rsidRPr="00771CA2">
        <w:rPr>
          <w:rFonts w:ascii="Times New Roman" w:hAnsi="Times New Roman" w:cs="Times New Roman"/>
          <w:sz w:val="24"/>
          <w:szCs w:val="24"/>
        </w:rPr>
        <w:t xml:space="preserve">, 818 F.3d 920, 932 (9th Cir. 2016); </w:t>
      </w:r>
      <w:proofErr w:type="spellStart"/>
      <w:r w:rsidRPr="00771CA2">
        <w:rPr>
          <w:rFonts w:ascii="Times New Roman" w:hAnsi="Times New Roman" w:cs="Times New Roman"/>
          <w:i/>
          <w:iCs/>
          <w:sz w:val="24"/>
          <w:szCs w:val="24"/>
        </w:rPr>
        <w:t>Corales</w:t>
      </w:r>
      <w:proofErr w:type="spellEnd"/>
      <w:r w:rsidRPr="00771CA2">
        <w:rPr>
          <w:rFonts w:ascii="Times New Roman" w:hAnsi="Times New Roman" w:cs="Times New Roman"/>
          <w:i/>
          <w:iCs/>
          <w:sz w:val="24"/>
          <w:szCs w:val="24"/>
        </w:rPr>
        <w:t xml:space="preserve"> v. Bennett</w:t>
      </w:r>
      <w:r w:rsidRPr="00771CA2">
        <w:rPr>
          <w:rFonts w:ascii="Times New Roman" w:hAnsi="Times New Roman" w:cs="Times New Roman"/>
          <w:sz w:val="24"/>
          <w:szCs w:val="24"/>
        </w:rPr>
        <w:t>, 567 F.3d 554, 562-68 (9th Cir. 2009).</w:t>
      </w:r>
    </w:p>
    <w:p w14:paraId="7A9570FD"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521CA4E7"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“A speech restriction cannot satisfy the time, place, manner test if the restriction does not contain clear standards.”</w:t>
      </w:r>
      <w:r w:rsidRPr="00771CA2">
        <w:rPr>
          <w:rFonts w:ascii="Times New Roman" w:hAnsi="Times New Roman" w:cs="Times New Roman"/>
          <w:i/>
          <w:iCs/>
          <w:sz w:val="24"/>
          <w:szCs w:val="24"/>
        </w:rPr>
        <w:t xml:space="preserve">  OSU Student All. v. Ray</w:t>
      </w:r>
      <w:r w:rsidRPr="00771CA2">
        <w:rPr>
          <w:rFonts w:ascii="Times New Roman" w:hAnsi="Times New Roman" w:cs="Times New Roman"/>
          <w:sz w:val="24"/>
          <w:szCs w:val="24"/>
        </w:rPr>
        <w:t xml:space="preserve">, 699 F.3d 1053, 1066 (9th Cir. 2012); </w:t>
      </w:r>
      <w:r w:rsidRPr="00771CA2">
        <w:rPr>
          <w:rFonts w:ascii="Times New Roman" w:hAnsi="Times New Roman" w:cs="Times New Roman"/>
          <w:i/>
          <w:iCs/>
          <w:sz w:val="24"/>
          <w:szCs w:val="24"/>
        </w:rPr>
        <w:t>see also City of Lakewood v. Plain Dealer Pub. Co.</w:t>
      </w:r>
      <w:r w:rsidRPr="00771CA2">
        <w:rPr>
          <w:rFonts w:ascii="Times New Roman" w:hAnsi="Times New Roman" w:cs="Times New Roman"/>
          <w:sz w:val="24"/>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2FEF09A9"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protected under the First Amendment when, based on the totality of the circumstances, the</w:t>
      </w:r>
    </w:p>
    <w:p w14:paraId="005266C6"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743D6D41"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speech bears a sufficient nexus to the school.  </w:t>
      </w:r>
      <w:r w:rsidRPr="00771CA2">
        <w:rPr>
          <w:rFonts w:ascii="Times New Roman" w:hAnsi="Times New Roman" w:cs="Times New Roman"/>
          <w:i/>
          <w:iCs/>
          <w:sz w:val="24"/>
          <w:szCs w:val="24"/>
        </w:rPr>
        <w:t>McNeil v. Sherwood Sch. Dist. 88J</w:t>
      </w:r>
      <w:r w:rsidRPr="00771CA2">
        <w:rPr>
          <w:rFonts w:ascii="Times New Roman" w:hAnsi="Times New Roman" w:cs="Times New Roman"/>
          <w:sz w:val="24"/>
          <w:szCs w:val="24"/>
        </w:rPr>
        <w:t>, 918 F.3d 700,</w:t>
      </w:r>
    </w:p>
    <w:p w14:paraId="739540B6"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707 (9th Cir. 2019).  Relevant considerations into whether speech bears a sufficient nexus to the</w:t>
      </w:r>
    </w:p>
    <w:p w14:paraId="3FE07623"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school include: (1) the degree and likelihood of harm to the school caused or augured by the</w:t>
      </w:r>
    </w:p>
    <w:p w14:paraId="2120E579"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speech, (2) whether it was reasonably foreseeable that the speech would reach and impact the</w:t>
      </w:r>
    </w:p>
    <w:p w14:paraId="061014B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school, and (3) the relation between the content and context of the speech and the school.”  </w:t>
      </w:r>
      <w:r w:rsidRPr="00771CA2">
        <w:rPr>
          <w:rFonts w:ascii="Times New Roman" w:hAnsi="Times New Roman" w:cs="Times New Roman"/>
          <w:i/>
          <w:iCs/>
          <w:sz w:val="24"/>
          <w:szCs w:val="24"/>
        </w:rPr>
        <w:t>Id</w:t>
      </w:r>
      <w:r w:rsidRPr="00771CA2">
        <w:rPr>
          <w:rFonts w:ascii="Times New Roman" w:hAnsi="Times New Roman" w:cs="Times New Roman"/>
          <w:sz w:val="24"/>
          <w:szCs w:val="24"/>
        </w:rPr>
        <w:t>.</w:t>
      </w:r>
    </w:p>
    <w:p w14:paraId="31F8A94C" w14:textId="77777777" w:rsidR="001E4BC8" w:rsidRPr="00771CA2" w:rsidRDefault="001E4BC8" w:rsidP="001E4BC8">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i/>
          <w:iCs/>
          <w:sz w:val="24"/>
          <w:szCs w:val="24"/>
        </w:rPr>
        <w:t>see also C.R. v. Eugene Sch. Dist. 4J</w:t>
      </w:r>
      <w:r w:rsidRPr="00771CA2">
        <w:rPr>
          <w:rFonts w:ascii="Times New Roman" w:hAnsi="Times New Roman" w:cs="Times New Roman"/>
          <w:sz w:val="24"/>
          <w:szCs w:val="24"/>
        </w:rPr>
        <w:t xml:space="preserve">, 835 F.3d 1142, 1150-52 (9th Cir. 2016); </w:t>
      </w:r>
      <w:proofErr w:type="spellStart"/>
      <w:r w:rsidRPr="00771CA2">
        <w:rPr>
          <w:rFonts w:ascii="Times New Roman" w:hAnsi="Times New Roman" w:cs="Times New Roman"/>
          <w:i/>
          <w:iCs/>
          <w:sz w:val="24"/>
          <w:szCs w:val="24"/>
        </w:rPr>
        <w:t>Wynar</w:t>
      </w:r>
      <w:proofErr w:type="spellEnd"/>
      <w:r w:rsidRPr="00771CA2">
        <w:rPr>
          <w:rFonts w:ascii="Times New Roman" w:hAnsi="Times New Roman" w:cs="Times New Roman"/>
          <w:i/>
          <w:iCs/>
          <w:sz w:val="24"/>
          <w:szCs w:val="24"/>
        </w:rPr>
        <w:t xml:space="preserve"> v. Douglas</w:t>
      </w:r>
    </w:p>
    <w:p w14:paraId="2B838E25"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roofErr w:type="spellStart"/>
      <w:r w:rsidRPr="00771CA2">
        <w:rPr>
          <w:rFonts w:ascii="Times New Roman" w:hAnsi="Times New Roman" w:cs="Times New Roman"/>
          <w:i/>
          <w:iCs/>
          <w:sz w:val="24"/>
          <w:szCs w:val="24"/>
        </w:rPr>
        <w:t>Cnty</w:t>
      </w:r>
      <w:proofErr w:type="spellEnd"/>
      <w:r w:rsidRPr="00771CA2">
        <w:rPr>
          <w:rFonts w:ascii="Times New Roman" w:hAnsi="Times New Roman" w:cs="Times New Roman"/>
          <w:i/>
          <w:iCs/>
          <w:sz w:val="24"/>
          <w:szCs w:val="24"/>
        </w:rPr>
        <w:t>. Sch. Dist.</w:t>
      </w:r>
      <w:r w:rsidRPr="00771CA2">
        <w:rPr>
          <w:rFonts w:ascii="Times New Roman" w:hAnsi="Times New Roman" w:cs="Times New Roman"/>
          <w:sz w:val="24"/>
          <w:szCs w:val="24"/>
        </w:rPr>
        <w:t xml:space="preserve">, 728 F. 3d. 1062, 1069 (9th Cir. 2013). </w:t>
      </w:r>
    </w:p>
    <w:p w14:paraId="70F0EA7E"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6560E7CC" w14:textId="77777777" w:rsidR="001E4BC8" w:rsidRPr="00771CA2" w:rsidRDefault="001E4BC8" w:rsidP="001E4BC8">
      <w:pPr>
        <w:autoSpaceDE w:val="0"/>
        <w:autoSpaceDN w:val="0"/>
        <w:adjustRightInd w:val="0"/>
        <w:spacing w:after="0" w:line="240" w:lineRule="auto"/>
        <w:ind w:left="720" w:right="720"/>
        <w:jc w:val="both"/>
        <w:rPr>
          <w:rFonts w:ascii="Times New Roman" w:hAnsi="Times New Roman" w:cs="Times New Roman"/>
          <w:sz w:val="24"/>
          <w:szCs w:val="24"/>
        </w:rPr>
      </w:pPr>
      <w:r w:rsidRPr="00771CA2">
        <w:rPr>
          <w:rFonts w:ascii="Times New Roman" w:hAnsi="Times New Roman" w:cs="Times New Roman"/>
          <w:sz w:val="24"/>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w:t>
      </w:r>
      <w:proofErr w:type="gramStart"/>
      <w:r w:rsidRPr="00771CA2">
        <w:rPr>
          <w:rFonts w:ascii="Times New Roman" w:hAnsi="Times New Roman" w:cs="Times New Roman"/>
          <w:sz w:val="24"/>
          <w:szCs w:val="24"/>
        </w:rPr>
        <w:t>adverse</w:t>
      </w:r>
      <w:proofErr w:type="gramEnd"/>
      <w:r w:rsidRPr="00771CA2">
        <w:rPr>
          <w:rFonts w:ascii="Times New Roman" w:hAnsi="Times New Roman" w:cs="Times New Roman"/>
          <w:sz w:val="24"/>
          <w:szCs w:val="24"/>
        </w:rPr>
        <w:t xml:space="preserve"> to give rise to a First Amendment retaliation claim. </w:t>
      </w:r>
    </w:p>
    <w:p w14:paraId="51A9590C"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68C9F653"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Mulligan v. Nichols</w:t>
      </w:r>
      <w:r w:rsidRPr="00771CA2">
        <w:rPr>
          <w:rFonts w:ascii="Times New Roman" w:hAnsi="Times New Roman" w:cs="Times New Roman"/>
          <w:sz w:val="24"/>
          <w:szCs w:val="24"/>
        </w:rPr>
        <w:t>, 835 F.3d 983, 989 (9th Cir. 2016) (citations omitted).</w:t>
      </w:r>
    </w:p>
    <w:p w14:paraId="26FBCD9B"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250B8C07"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For a discussion of the boundaries between First Amendment protected expression and unprotected business activity by a street performer,</w:t>
      </w:r>
      <w:r w:rsidRPr="00771CA2">
        <w:rPr>
          <w:rFonts w:ascii="Times New Roman" w:hAnsi="Times New Roman" w:cs="Times New Roman"/>
          <w:i/>
          <w:iCs/>
          <w:sz w:val="24"/>
          <w:szCs w:val="24"/>
        </w:rPr>
        <w:t xml:space="preserve"> see </w:t>
      </w:r>
      <w:proofErr w:type="spellStart"/>
      <w:r w:rsidRPr="00771CA2">
        <w:rPr>
          <w:rFonts w:ascii="Times New Roman" w:hAnsi="Times New Roman" w:cs="Times New Roman"/>
          <w:i/>
          <w:iCs/>
          <w:sz w:val="24"/>
          <w:szCs w:val="24"/>
        </w:rPr>
        <w:t>Santopietro</w:t>
      </w:r>
      <w:proofErr w:type="spellEnd"/>
      <w:r w:rsidRPr="00771CA2">
        <w:rPr>
          <w:rFonts w:ascii="Times New Roman" w:hAnsi="Times New Roman" w:cs="Times New Roman"/>
          <w:i/>
          <w:iCs/>
          <w:sz w:val="24"/>
          <w:szCs w:val="24"/>
        </w:rPr>
        <w:t xml:space="preserve"> v. Howell</w:t>
      </w:r>
      <w:r w:rsidRPr="00771CA2">
        <w:rPr>
          <w:rFonts w:ascii="Times New Roman" w:hAnsi="Times New Roman" w:cs="Times New Roman"/>
          <w:sz w:val="24"/>
          <w:szCs w:val="24"/>
        </w:rPr>
        <w:t>, 857 F.3d 980 (9th Cir. 2017).</w:t>
      </w:r>
    </w:p>
    <w:p w14:paraId="47079E6B"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0A55395A" w14:textId="77777777" w:rsidR="001E4BC8" w:rsidRPr="00F30BEB" w:rsidRDefault="001E4BC8" w:rsidP="001E4BC8">
      <w:pPr>
        <w:spacing w:after="0" w:line="240" w:lineRule="auto"/>
        <w:jc w:val="both"/>
        <w:rPr>
          <w:rFonts w:ascii="Times New Roman" w:hAnsi="Times New Roman" w:cs="Times New Roman"/>
          <w:sz w:val="24"/>
          <w:szCs w:val="24"/>
        </w:rPr>
      </w:pPr>
      <w:r w:rsidRPr="00771CA2">
        <w:rPr>
          <w:rFonts w:ascii="Times New Roman" w:hAnsi="Times New Roman" w:cs="Times New Roman"/>
          <w:sz w:val="24"/>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771CA2">
        <w:rPr>
          <w:rFonts w:ascii="Times New Roman" w:hAnsi="Times New Roman" w:cs="Times New Roman"/>
          <w:i/>
          <w:iCs/>
          <w:sz w:val="24"/>
          <w:szCs w:val="24"/>
        </w:rPr>
        <w:t>Rhodes v. Robinson</w:t>
      </w:r>
      <w:r w:rsidRPr="00771CA2">
        <w:rPr>
          <w:rFonts w:ascii="Times New Roman" w:hAnsi="Times New Roman" w:cs="Times New Roman"/>
          <w:sz w:val="24"/>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proofErr w:type="spellStart"/>
      <w:r w:rsidRPr="00771CA2">
        <w:rPr>
          <w:rFonts w:ascii="Times New Roman" w:hAnsi="Times New Roman" w:cs="Times New Roman"/>
          <w:i/>
          <w:iCs/>
          <w:sz w:val="24"/>
          <w:szCs w:val="24"/>
        </w:rPr>
        <w:t>Entler</w:t>
      </w:r>
      <w:proofErr w:type="spellEnd"/>
      <w:r w:rsidRPr="00771CA2">
        <w:rPr>
          <w:rFonts w:ascii="Times New Roman" w:hAnsi="Times New Roman" w:cs="Times New Roman"/>
          <w:i/>
          <w:iCs/>
          <w:sz w:val="24"/>
          <w:szCs w:val="24"/>
        </w:rPr>
        <w:t xml:space="preserve"> v. Gregoire</w:t>
      </w:r>
      <w:r w:rsidRPr="00771CA2">
        <w:rPr>
          <w:rFonts w:ascii="Times New Roman" w:hAnsi="Times New Roman" w:cs="Times New Roman"/>
          <w:sz w:val="24"/>
          <w:szCs w:val="24"/>
        </w:rPr>
        <w:t>, 872 F.3d 1031 (9th Cir. 2017).</w:t>
      </w:r>
      <w:r w:rsidRPr="005D39B6">
        <w:rPr>
          <w:rFonts w:ascii="Times New Roman" w:hAnsi="Times New Roman" w:cs="Times New Roman"/>
          <w:sz w:val="24"/>
          <w:szCs w:val="24"/>
        </w:rPr>
        <w:t xml:space="preserve"> </w:t>
      </w:r>
      <w:r w:rsidRPr="00F30BEB">
        <w:rPr>
          <w:rFonts w:ascii="Times New Roman" w:hAnsi="Times New Roman" w:cs="Times New Roman"/>
          <w:sz w:val="24"/>
          <w:szCs w:val="24"/>
        </w:rPr>
        <w:t xml:space="preserve">“Prisoners have a First Amendment right to receive information while incarcerated,” but this right must be balanced against a prison’s need for effective administration and reform.  </w:t>
      </w:r>
      <w:r w:rsidRPr="00F30BEB">
        <w:rPr>
          <w:rFonts w:ascii="Times New Roman" w:hAnsi="Times New Roman" w:cs="Times New Roman"/>
          <w:i/>
          <w:iCs/>
          <w:sz w:val="24"/>
          <w:szCs w:val="24"/>
        </w:rPr>
        <w:t>Jones v. Slade</w:t>
      </w:r>
      <w:r w:rsidRPr="00F30BEB">
        <w:rPr>
          <w:rFonts w:ascii="Times New Roman" w:hAnsi="Times New Roman" w:cs="Times New Roman"/>
          <w:sz w:val="24"/>
          <w:szCs w:val="24"/>
        </w:rPr>
        <w:t xml:space="preserve">, 23 F.4th 1124, 1134 (9th Cir. 2022).  Prison regulations that affect information or mailings available to inmates are reviewed pursuant to the four-factor deferential standard set forth in </w:t>
      </w:r>
      <w:r w:rsidRPr="00F30BEB">
        <w:rPr>
          <w:rFonts w:ascii="Times New Roman" w:hAnsi="Times New Roman" w:cs="Times New Roman"/>
          <w:i/>
          <w:iCs/>
          <w:sz w:val="24"/>
          <w:szCs w:val="24"/>
        </w:rPr>
        <w:t xml:space="preserve">Turner v. </w:t>
      </w:r>
      <w:proofErr w:type="spellStart"/>
      <w:r w:rsidRPr="00F30BEB">
        <w:rPr>
          <w:rFonts w:ascii="Times New Roman" w:hAnsi="Times New Roman" w:cs="Times New Roman"/>
          <w:i/>
          <w:iCs/>
          <w:sz w:val="24"/>
          <w:szCs w:val="24"/>
        </w:rPr>
        <w:t>Safley</w:t>
      </w:r>
      <w:proofErr w:type="spellEnd"/>
      <w:r w:rsidRPr="00F30BEB">
        <w:rPr>
          <w:rFonts w:ascii="Times New Roman" w:hAnsi="Times New Roman" w:cs="Times New Roman"/>
          <w:sz w:val="24"/>
          <w:szCs w:val="24"/>
        </w:rPr>
        <w:t xml:space="preserve">, 482 U.S. 78 (1987).  </w:t>
      </w:r>
      <w:r>
        <w:rPr>
          <w:rFonts w:ascii="Times New Roman" w:hAnsi="Times New Roman" w:cs="Times New Roman"/>
          <w:i/>
          <w:iCs/>
          <w:sz w:val="24"/>
          <w:szCs w:val="24"/>
        </w:rPr>
        <w:t>Id.</w:t>
      </w:r>
      <w:r w:rsidRPr="00F30BEB">
        <w:rPr>
          <w:rFonts w:ascii="Times New Roman" w:hAnsi="Times New Roman" w:cs="Times New Roman"/>
          <w:sz w:val="24"/>
          <w:szCs w:val="24"/>
        </w:rPr>
        <w:t>, 23 F.4th at 1134</w:t>
      </w:r>
      <w:r>
        <w:rPr>
          <w:rFonts w:ascii="Times New Roman" w:hAnsi="Times New Roman" w:cs="Times New Roman"/>
          <w:sz w:val="24"/>
          <w:szCs w:val="24"/>
        </w:rPr>
        <w:t>-</w:t>
      </w:r>
      <w:r w:rsidRPr="00F30BEB">
        <w:rPr>
          <w:rFonts w:ascii="Times New Roman" w:hAnsi="Times New Roman" w:cs="Times New Roman"/>
          <w:sz w:val="24"/>
          <w:szCs w:val="24"/>
        </w:rPr>
        <w:t xml:space="preserve">35 (applying </w:t>
      </w:r>
      <w:r w:rsidRPr="00F30BEB">
        <w:rPr>
          <w:rFonts w:ascii="Times New Roman" w:hAnsi="Times New Roman" w:cs="Times New Roman"/>
          <w:i/>
          <w:iCs/>
          <w:sz w:val="24"/>
          <w:szCs w:val="24"/>
        </w:rPr>
        <w:t xml:space="preserve">Turner </w:t>
      </w:r>
      <w:r w:rsidRPr="00F30BEB">
        <w:rPr>
          <w:rFonts w:ascii="Times New Roman" w:hAnsi="Times New Roman" w:cs="Times New Roman"/>
          <w:sz w:val="24"/>
          <w:szCs w:val="24"/>
        </w:rPr>
        <w:t>standard to music CDs confiscated as contraband per prison regulations).</w:t>
      </w:r>
    </w:p>
    <w:p w14:paraId="0285FA4E"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68E0362F"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7C8B9D96" w14:textId="77777777" w:rsidR="001E4BC8" w:rsidRPr="00771CA2" w:rsidRDefault="001E4BC8" w:rsidP="001E4BC8">
      <w:pPr>
        <w:autoSpaceDE w:val="0"/>
        <w:autoSpaceDN w:val="0"/>
        <w:adjustRightInd w:val="0"/>
        <w:spacing w:after="0" w:line="240" w:lineRule="auto"/>
        <w:rPr>
          <w:rFonts w:ascii="Times New Roman" w:hAnsi="Times New Roman" w:cs="Times New Roman"/>
          <w:sz w:val="24"/>
          <w:szCs w:val="24"/>
        </w:rPr>
      </w:pPr>
    </w:p>
    <w:p w14:paraId="132985A5" w14:textId="77777777" w:rsidR="001E4BC8" w:rsidRPr="00771CA2" w:rsidRDefault="001E4BC8" w:rsidP="001E4BC8">
      <w:pPr>
        <w:autoSpaceDE w:val="0"/>
        <w:autoSpaceDN w:val="0"/>
        <w:adjustRightInd w:val="0"/>
        <w:spacing w:after="0" w:line="240" w:lineRule="auto"/>
        <w:jc w:val="right"/>
        <w:rPr>
          <w:rFonts w:ascii="Times New Roman" w:hAnsi="Times New Roman" w:cs="Times New Roman"/>
          <w:sz w:val="24"/>
          <w:szCs w:val="24"/>
        </w:rPr>
      </w:pPr>
      <w:r w:rsidRPr="00771CA2">
        <w:rPr>
          <w:rFonts w:ascii="Times New Roman" w:hAnsi="Times New Roman" w:cs="Times New Roman"/>
          <w:i/>
          <w:iCs/>
          <w:sz w:val="24"/>
          <w:szCs w:val="24"/>
        </w:rPr>
        <w:t>Revised Ma</w:t>
      </w:r>
      <w:r>
        <w:rPr>
          <w:rFonts w:ascii="Times New Roman" w:hAnsi="Times New Roman" w:cs="Times New Roman"/>
          <w:i/>
          <w:iCs/>
          <w:sz w:val="24"/>
          <w:szCs w:val="24"/>
        </w:rPr>
        <w:t>r. 2022</w:t>
      </w:r>
    </w:p>
    <w:p w14:paraId="6C406DC5"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C8"/>
    <w:rsid w:val="001E4BC8"/>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6AF8"/>
  <w15:chartTrackingRefBased/>
  <w15:docId w15:val="{C2A30C73-CE55-4D0B-891F-8F1575D7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2022-04-29T00:36:00Z</dcterms:created>
  <dcterms:modified xsi:type="dcterms:W3CDTF">2022-04-29T00:36:00Z</dcterms:modified>
</cp:coreProperties>
</file>