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6515" w14:textId="29018DD1" w:rsidR="001E4BC8" w:rsidRPr="00E36BBE" w:rsidRDefault="001E4BC8" w:rsidP="00805420">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65157308"/>
      <w:r w:rsidRPr="00E36BBE">
        <w:rPr>
          <w:rFonts w:ascii="Times New Roman" w:hAnsi="Times New Roman" w:cs="Times New Roman"/>
          <w:b/>
          <w:bCs/>
          <w:sz w:val="24"/>
          <w:szCs w:val="24"/>
        </w:rPr>
        <w:t xml:space="preserve">9.11 </w:t>
      </w:r>
      <w:bookmarkStart w:id="1" w:name="_Hlk147388620"/>
      <w:r w:rsidRPr="00E36BBE">
        <w:rPr>
          <w:rFonts w:ascii="Times New Roman" w:hAnsi="Times New Roman" w:cs="Times New Roman"/>
          <w:b/>
          <w:bCs/>
          <w:sz w:val="24"/>
          <w:szCs w:val="24"/>
        </w:rPr>
        <w:t>Particular Rights—First Amendment—“Citizen” P</w:t>
      </w:r>
      <w:bookmarkEnd w:id="0"/>
      <w:r w:rsidRPr="00E36BBE">
        <w:rPr>
          <w:rFonts w:ascii="Times New Roman" w:hAnsi="Times New Roman" w:cs="Times New Roman"/>
          <w:b/>
          <w:bCs/>
          <w:sz w:val="24"/>
          <w:szCs w:val="24"/>
        </w:rPr>
        <w:t>laintiff</w:t>
      </w:r>
      <w:bookmarkEnd w:id="1"/>
    </w:p>
    <w:p w14:paraId="1953AB27" w14:textId="77777777" w:rsidR="001E4BC8" w:rsidRPr="00E36BBE" w:rsidRDefault="001E4BC8" w:rsidP="00805420">
      <w:pPr>
        <w:autoSpaceDE w:val="0"/>
        <w:autoSpaceDN w:val="0"/>
        <w:adjustRightInd w:val="0"/>
        <w:spacing w:after="0" w:line="240" w:lineRule="auto"/>
        <w:rPr>
          <w:rFonts w:ascii="Times New Roman" w:hAnsi="Times New Roman" w:cs="Times New Roman"/>
          <w:sz w:val="24"/>
          <w:szCs w:val="24"/>
        </w:rPr>
      </w:pPr>
    </w:p>
    <w:p w14:paraId="6FF9A69C" w14:textId="61DE451C" w:rsidR="0093062E" w:rsidRPr="0093062E" w:rsidRDefault="001E4BC8" w:rsidP="0093062E">
      <w:pPr>
        <w:rPr>
          <w:rFonts w:ascii="Times New Roman" w:hAnsi="Times New Roman" w:cs="Times New Roman"/>
          <w:sz w:val="24"/>
          <w:szCs w:val="28"/>
        </w:rPr>
      </w:pPr>
      <w:r w:rsidRPr="00E36BBE">
        <w:rPr>
          <w:rFonts w:ascii="Times New Roman" w:hAnsi="Times New Roman" w:cs="Times New Roman"/>
          <w:b/>
          <w:bCs/>
          <w:sz w:val="24"/>
          <w:szCs w:val="24"/>
        </w:rPr>
        <w:tab/>
      </w:r>
      <w:r w:rsidRPr="00E36BBE">
        <w:rPr>
          <w:rFonts w:ascii="Times New Roman" w:hAnsi="Times New Roman" w:cs="Times New Roman"/>
          <w:sz w:val="24"/>
          <w:szCs w:val="24"/>
        </w:rPr>
        <w:t xml:space="preserve">As previously </w:t>
      </w:r>
      <w:r w:rsidR="0093062E" w:rsidRPr="0093062E">
        <w:rPr>
          <w:rFonts w:ascii="Times New Roman" w:hAnsi="Times New Roman" w:cs="Times New Roman"/>
          <w:sz w:val="24"/>
          <w:szCs w:val="28"/>
        </w:rPr>
        <w:t>explained, the plaintiff [</w:t>
      </w:r>
      <w:r w:rsidR="0093062E" w:rsidRPr="0093062E">
        <w:rPr>
          <w:rFonts w:ascii="Times New Roman" w:hAnsi="Times New Roman" w:cs="Times New Roman"/>
          <w:i/>
          <w:iCs/>
          <w:sz w:val="24"/>
          <w:szCs w:val="28"/>
          <w:u w:val="single"/>
        </w:rPr>
        <w:t>name</w:t>
      </w:r>
      <w:r w:rsidR="0093062E" w:rsidRPr="0093062E">
        <w:rPr>
          <w:rFonts w:ascii="Times New Roman" w:hAnsi="Times New Roman" w:cs="Times New Roman"/>
          <w:sz w:val="24"/>
          <w:szCs w:val="28"/>
        </w:rPr>
        <w:t>] has the burden of proving that the act[s] of the defendant [</w:t>
      </w:r>
      <w:r w:rsidR="0093062E" w:rsidRPr="0093062E">
        <w:rPr>
          <w:rFonts w:ascii="Times New Roman" w:hAnsi="Times New Roman" w:cs="Times New Roman"/>
          <w:i/>
          <w:iCs/>
          <w:sz w:val="24"/>
          <w:szCs w:val="28"/>
          <w:u w:val="single"/>
        </w:rPr>
        <w:t>name</w:t>
      </w:r>
      <w:r w:rsidR="0093062E" w:rsidRPr="0093062E">
        <w:rPr>
          <w:rFonts w:ascii="Times New Roman" w:hAnsi="Times New Roman" w:cs="Times New Roman"/>
          <w:sz w:val="24"/>
          <w:szCs w:val="28"/>
        </w:rPr>
        <w:t>] deprived the plaintiff [</w:t>
      </w:r>
      <w:r w:rsidR="0093062E" w:rsidRPr="0093062E">
        <w:rPr>
          <w:rFonts w:ascii="Times New Roman" w:hAnsi="Times New Roman" w:cs="Times New Roman"/>
          <w:i/>
          <w:iCs/>
          <w:sz w:val="24"/>
          <w:szCs w:val="28"/>
          <w:u w:val="single"/>
        </w:rPr>
        <w:t>name</w:t>
      </w:r>
      <w:r w:rsidR="0093062E" w:rsidRPr="0093062E">
        <w:rPr>
          <w:rFonts w:ascii="Times New Roman" w:hAnsi="Times New Roman" w:cs="Times New Roman"/>
          <w:sz w:val="24"/>
          <w:szCs w:val="28"/>
        </w:rPr>
        <w:t>] of particular rights under the United States Constitution. In this case, the plaintiff [</w:t>
      </w:r>
      <w:r w:rsidR="0093062E" w:rsidRPr="0093062E">
        <w:rPr>
          <w:rFonts w:ascii="Times New Roman" w:hAnsi="Times New Roman" w:cs="Times New Roman"/>
          <w:i/>
          <w:iCs/>
          <w:sz w:val="24"/>
          <w:szCs w:val="28"/>
          <w:u w:val="single"/>
        </w:rPr>
        <w:t>name</w:t>
      </w:r>
      <w:r w:rsidR="0093062E" w:rsidRPr="0093062E">
        <w:rPr>
          <w:rFonts w:ascii="Times New Roman" w:hAnsi="Times New Roman" w:cs="Times New Roman"/>
          <w:sz w:val="24"/>
          <w:szCs w:val="28"/>
        </w:rPr>
        <w:t>] alleges the defendant [</w:t>
      </w:r>
      <w:r w:rsidR="0093062E" w:rsidRPr="0093062E">
        <w:rPr>
          <w:rFonts w:ascii="Times New Roman" w:hAnsi="Times New Roman" w:cs="Times New Roman"/>
          <w:i/>
          <w:iCs/>
          <w:sz w:val="24"/>
          <w:szCs w:val="28"/>
          <w:u w:val="single"/>
        </w:rPr>
        <w:t>name</w:t>
      </w:r>
      <w:r w:rsidR="0093062E" w:rsidRPr="0093062E">
        <w:rPr>
          <w:rFonts w:ascii="Times New Roman" w:hAnsi="Times New Roman" w:cs="Times New Roman"/>
          <w:sz w:val="24"/>
          <w:szCs w:val="28"/>
        </w:rPr>
        <w:t>] deprived the plaintiff [</w:t>
      </w:r>
      <w:r w:rsidR="0093062E" w:rsidRPr="0093062E">
        <w:rPr>
          <w:rFonts w:ascii="Times New Roman" w:hAnsi="Times New Roman" w:cs="Times New Roman"/>
          <w:i/>
          <w:iCs/>
          <w:sz w:val="24"/>
          <w:szCs w:val="28"/>
          <w:u w:val="single"/>
        </w:rPr>
        <w:t>name</w:t>
      </w:r>
      <w:r w:rsidR="0093062E" w:rsidRPr="0093062E">
        <w:rPr>
          <w:rFonts w:ascii="Times New Roman" w:hAnsi="Times New Roman" w:cs="Times New Roman"/>
          <w:sz w:val="24"/>
          <w:szCs w:val="28"/>
        </w:rPr>
        <w:t>] of rights under the First Amendment to the Constitution when [</w:t>
      </w:r>
      <w:r w:rsidR="0093062E" w:rsidRPr="0093062E">
        <w:rPr>
          <w:rFonts w:ascii="Times New Roman" w:hAnsi="Times New Roman" w:cs="Times New Roman"/>
          <w:i/>
          <w:iCs/>
          <w:sz w:val="24"/>
          <w:szCs w:val="28"/>
          <w:u w:val="single"/>
        </w:rPr>
        <w:t>insert factual basis of the plaintiff’s claim</w:t>
      </w:r>
      <w:r w:rsidR="0093062E" w:rsidRPr="0093062E">
        <w:rPr>
          <w:rFonts w:ascii="Times New Roman" w:hAnsi="Times New Roman" w:cs="Times New Roman"/>
          <w:sz w:val="24"/>
          <w:szCs w:val="28"/>
        </w:rPr>
        <w:t>].</w:t>
      </w:r>
    </w:p>
    <w:p w14:paraId="6F599A06" w14:textId="270E3D15" w:rsidR="0093062E" w:rsidRPr="0093062E" w:rsidRDefault="0093062E" w:rsidP="0093062E">
      <w:pPr>
        <w:autoSpaceDE w:val="0"/>
        <w:autoSpaceDN w:val="0"/>
        <w:adjustRightInd w:val="0"/>
        <w:rPr>
          <w:rFonts w:ascii="Times New Roman" w:hAnsi="Times New Roman" w:cs="Times New Roman"/>
          <w:sz w:val="24"/>
          <w:szCs w:val="28"/>
        </w:rPr>
      </w:pPr>
      <w:r w:rsidRPr="0093062E">
        <w:rPr>
          <w:rFonts w:ascii="Times New Roman" w:hAnsi="Times New Roman" w:cs="Times New Roman"/>
          <w:sz w:val="24"/>
          <w:szCs w:val="28"/>
        </w:rPr>
        <w:tab/>
        <w:t>Under the First Amendment, a citizen has the right [to free expression] [to petition the government] [to access the courts] [</w:t>
      </w:r>
      <w:r w:rsidRPr="0093062E">
        <w:rPr>
          <w:rFonts w:ascii="Times New Roman" w:hAnsi="Times New Roman" w:cs="Times New Roman"/>
          <w:i/>
          <w:iCs/>
          <w:sz w:val="24"/>
          <w:szCs w:val="28"/>
          <w:u w:val="single"/>
        </w:rPr>
        <w:t>other applicable right</w:t>
      </w:r>
      <w:r w:rsidRPr="0093062E">
        <w:rPr>
          <w:rFonts w:ascii="Times New Roman" w:hAnsi="Times New Roman" w:cs="Times New Roman"/>
          <w:sz w:val="24"/>
          <w:szCs w:val="28"/>
        </w:rPr>
        <w:t>]. To establish the defendant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 deprived the plaintiff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 of this First Amendment right, the plaintiff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 must prove the following additional elements by a preponderance of the evidence:</w:t>
      </w:r>
    </w:p>
    <w:p w14:paraId="75C8C26B" w14:textId="684A1668" w:rsidR="0093062E" w:rsidRPr="0093062E" w:rsidRDefault="0093062E" w:rsidP="0093062E">
      <w:pPr>
        <w:autoSpaceDE w:val="0"/>
        <w:autoSpaceDN w:val="0"/>
        <w:adjustRightInd w:val="0"/>
        <w:ind w:firstLine="720"/>
        <w:rPr>
          <w:rFonts w:ascii="Times New Roman" w:hAnsi="Times New Roman" w:cs="Times New Roman"/>
          <w:sz w:val="24"/>
          <w:szCs w:val="28"/>
        </w:rPr>
      </w:pPr>
      <w:r w:rsidRPr="0093062E">
        <w:rPr>
          <w:rFonts w:ascii="Times New Roman" w:hAnsi="Times New Roman" w:cs="Times New Roman"/>
          <w:sz w:val="24"/>
          <w:szCs w:val="28"/>
        </w:rPr>
        <w:t>First, the plaintiff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 xml:space="preserve">] was engaged in a constitutionally protected </w:t>
      </w:r>
      <w:proofErr w:type="gramStart"/>
      <w:r w:rsidRPr="0093062E">
        <w:rPr>
          <w:rFonts w:ascii="Times New Roman" w:hAnsi="Times New Roman" w:cs="Times New Roman"/>
          <w:sz w:val="24"/>
          <w:szCs w:val="28"/>
        </w:rPr>
        <w:t>activity;</w:t>
      </w:r>
      <w:proofErr w:type="gramEnd"/>
    </w:p>
    <w:p w14:paraId="305F892B" w14:textId="7D4A946E" w:rsidR="0093062E" w:rsidRPr="0093062E" w:rsidRDefault="0093062E" w:rsidP="0093062E">
      <w:pPr>
        <w:autoSpaceDE w:val="0"/>
        <w:autoSpaceDN w:val="0"/>
        <w:adjustRightInd w:val="0"/>
        <w:ind w:firstLine="720"/>
        <w:rPr>
          <w:rFonts w:ascii="Times New Roman" w:hAnsi="Times New Roman" w:cs="Times New Roman"/>
          <w:sz w:val="24"/>
          <w:szCs w:val="28"/>
        </w:rPr>
      </w:pPr>
      <w:r w:rsidRPr="0093062E">
        <w:rPr>
          <w:rFonts w:ascii="Times New Roman" w:hAnsi="Times New Roman" w:cs="Times New Roman"/>
          <w:sz w:val="24"/>
          <w:szCs w:val="28"/>
        </w:rPr>
        <w:t>Second, the defendant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]’s actions against the plaintiff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 xml:space="preserve">] would chill a person of ordinary firmness from continuing to engage in the protected activity; and </w:t>
      </w:r>
    </w:p>
    <w:p w14:paraId="0913E8EA" w14:textId="312D3B72" w:rsidR="0093062E" w:rsidRPr="0093062E" w:rsidRDefault="0093062E" w:rsidP="0093062E">
      <w:pPr>
        <w:autoSpaceDE w:val="0"/>
        <w:autoSpaceDN w:val="0"/>
        <w:adjustRightInd w:val="0"/>
        <w:ind w:firstLine="720"/>
        <w:rPr>
          <w:rFonts w:ascii="Times New Roman" w:hAnsi="Times New Roman" w:cs="Times New Roman"/>
          <w:sz w:val="24"/>
          <w:szCs w:val="28"/>
        </w:rPr>
      </w:pPr>
      <w:r w:rsidRPr="0093062E">
        <w:rPr>
          <w:rFonts w:ascii="Times New Roman" w:hAnsi="Times New Roman" w:cs="Times New Roman"/>
          <w:sz w:val="24"/>
          <w:szCs w:val="28"/>
        </w:rPr>
        <w:t>Third, the plaintiff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]’s protected activity was a substantial or motivating factor in the defendant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]’s conduct.</w:t>
      </w:r>
    </w:p>
    <w:p w14:paraId="7B7839DD" w14:textId="2F4E4514" w:rsidR="0093062E" w:rsidRPr="0093062E" w:rsidRDefault="0093062E" w:rsidP="0093062E">
      <w:pPr>
        <w:autoSpaceDE w:val="0"/>
        <w:autoSpaceDN w:val="0"/>
        <w:adjustRightInd w:val="0"/>
        <w:rPr>
          <w:rFonts w:ascii="Times New Roman" w:hAnsi="Times New Roman" w:cs="Times New Roman"/>
          <w:sz w:val="24"/>
          <w:szCs w:val="28"/>
        </w:rPr>
      </w:pPr>
      <w:r w:rsidRPr="0093062E">
        <w:rPr>
          <w:rFonts w:ascii="Times New Roman" w:hAnsi="Times New Roman" w:cs="Times New Roman"/>
          <w:sz w:val="24"/>
          <w:szCs w:val="28"/>
        </w:rPr>
        <w:tab/>
        <w:t>[I instruct you that the plaintiff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]’s [speech in this case about [</w:t>
      </w:r>
      <w:r w:rsidRPr="0093062E">
        <w:rPr>
          <w:rFonts w:ascii="Times New Roman" w:hAnsi="Times New Roman" w:cs="Times New Roman"/>
          <w:i/>
          <w:iCs/>
          <w:sz w:val="24"/>
          <w:szCs w:val="28"/>
          <w:u w:val="single"/>
        </w:rPr>
        <w:t>specify</w:t>
      </w:r>
      <w:r w:rsidRPr="0093062E">
        <w:rPr>
          <w:rFonts w:ascii="Times New Roman" w:hAnsi="Times New Roman" w:cs="Times New Roman"/>
          <w:sz w:val="24"/>
          <w:szCs w:val="28"/>
        </w:rPr>
        <w:t>]] [</w:t>
      </w:r>
      <w:r w:rsidRPr="0093062E">
        <w:rPr>
          <w:rFonts w:ascii="Times New Roman" w:hAnsi="Times New Roman" w:cs="Times New Roman"/>
          <w:i/>
          <w:iCs/>
          <w:sz w:val="24"/>
          <w:szCs w:val="28"/>
          <w:u w:val="single"/>
        </w:rPr>
        <w:t>specify conduct</w:t>
      </w:r>
      <w:r w:rsidRPr="0093062E">
        <w:rPr>
          <w:rFonts w:ascii="Times New Roman" w:hAnsi="Times New Roman" w:cs="Times New Roman"/>
          <w:sz w:val="24"/>
          <w:szCs w:val="28"/>
        </w:rPr>
        <w:t>] was protected under the First Amendment and, therefore, the first element requires no proof.]</w:t>
      </w:r>
    </w:p>
    <w:p w14:paraId="0F0D45E1" w14:textId="68BCE0BD" w:rsidR="0093062E" w:rsidRPr="0093062E" w:rsidRDefault="0093062E" w:rsidP="0093062E">
      <w:pPr>
        <w:autoSpaceDE w:val="0"/>
        <w:autoSpaceDN w:val="0"/>
        <w:adjustRightInd w:val="0"/>
        <w:rPr>
          <w:rFonts w:ascii="Times New Roman" w:hAnsi="Times New Roman" w:cs="Times New Roman"/>
          <w:sz w:val="24"/>
          <w:szCs w:val="28"/>
        </w:rPr>
      </w:pPr>
      <w:r w:rsidRPr="0093062E">
        <w:rPr>
          <w:rFonts w:ascii="Times New Roman" w:hAnsi="Times New Roman" w:cs="Times New Roman"/>
          <w:sz w:val="24"/>
          <w:szCs w:val="28"/>
        </w:rPr>
        <w:tab/>
        <w:t>A substantial or motivating factor is a significant factor, though not necessarily the only factor.</w:t>
      </w:r>
    </w:p>
    <w:p w14:paraId="0B3E8CA0" w14:textId="77777777" w:rsidR="0093062E" w:rsidRPr="0093062E" w:rsidRDefault="0093062E" w:rsidP="0093062E">
      <w:pPr>
        <w:autoSpaceDE w:val="0"/>
        <w:autoSpaceDN w:val="0"/>
        <w:adjustRightInd w:val="0"/>
        <w:ind w:firstLine="720"/>
        <w:rPr>
          <w:rFonts w:ascii="Times New Roman" w:hAnsi="Times New Roman" w:cs="Times New Roman"/>
          <w:sz w:val="24"/>
          <w:szCs w:val="28"/>
        </w:rPr>
      </w:pPr>
      <w:r w:rsidRPr="0093062E">
        <w:rPr>
          <w:rFonts w:ascii="Times New Roman" w:hAnsi="Times New Roman" w:cs="Times New Roman"/>
          <w:sz w:val="24"/>
          <w:szCs w:val="28"/>
        </w:rPr>
        <w:t>If the plaintiff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 establishes each of the foregoing elements, the burden shifts to the</w:t>
      </w:r>
    </w:p>
    <w:p w14:paraId="17D8B4AC" w14:textId="79A59F54" w:rsidR="001E4BC8" w:rsidRPr="0093062E" w:rsidRDefault="0093062E" w:rsidP="0093062E">
      <w:pPr>
        <w:autoSpaceDE w:val="0"/>
        <w:autoSpaceDN w:val="0"/>
        <w:adjustRightInd w:val="0"/>
        <w:spacing w:after="0" w:line="240" w:lineRule="auto"/>
        <w:rPr>
          <w:rFonts w:ascii="Times New Roman" w:hAnsi="Times New Roman" w:cs="Times New Roman"/>
          <w:sz w:val="28"/>
          <w:szCs w:val="28"/>
        </w:rPr>
      </w:pPr>
      <w:r w:rsidRPr="0093062E">
        <w:rPr>
          <w:rFonts w:ascii="Times New Roman" w:hAnsi="Times New Roman" w:cs="Times New Roman"/>
          <w:sz w:val="24"/>
          <w:szCs w:val="28"/>
        </w:rPr>
        <w:t>defendant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 to prove by a preponderance of the evidence that the defendant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 would have taken the action(s) in question, even in the absence of any motive to retaliate against the plaintiff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 If you find that the defendant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 is able to demonstrate this, you must find for the defendant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 If you find that the defendant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 is not able to demonstrate this, you must find for the plaintiff [</w:t>
      </w:r>
      <w:r w:rsidRPr="0093062E">
        <w:rPr>
          <w:rFonts w:ascii="Times New Roman" w:hAnsi="Times New Roman" w:cs="Times New Roman"/>
          <w:i/>
          <w:iCs/>
          <w:sz w:val="24"/>
          <w:szCs w:val="28"/>
          <w:u w:val="single"/>
        </w:rPr>
        <w:t>name</w:t>
      </w:r>
      <w:r w:rsidRPr="0093062E">
        <w:rPr>
          <w:rFonts w:ascii="Times New Roman" w:hAnsi="Times New Roman" w:cs="Times New Roman"/>
          <w:sz w:val="24"/>
          <w:szCs w:val="28"/>
        </w:rPr>
        <w:t>].</w:t>
      </w:r>
    </w:p>
    <w:p w14:paraId="6F97F87B" w14:textId="77777777" w:rsidR="001E4BC8" w:rsidRPr="00E36BBE" w:rsidRDefault="001E4BC8" w:rsidP="00805420">
      <w:pPr>
        <w:autoSpaceDE w:val="0"/>
        <w:autoSpaceDN w:val="0"/>
        <w:adjustRightInd w:val="0"/>
        <w:spacing w:after="0" w:line="240" w:lineRule="auto"/>
        <w:jc w:val="center"/>
        <w:rPr>
          <w:rFonts w:ascii="Times New Roman" w:hAnsi="Times New Roman" w:cs="Times New Roman"/>
          <w:b/>
          <w:bCs/>
          <w:sz w:val="24"/>
          <w:szCs w:val="24"/>
        </w:rPr>
      </w:pPr>
      <w:r w:rsidRPr="00E36BBE">
        <w:rPr>
          <w:rFonts w:ascii="Times New Roman" w:hAnsi="Times New Roman" w:cs="Times New Roman"/>
          <w:b/>
          <w:bCs/>
          <w:sz w:val="24"/>
          <w:szCs w:val="24"/>
        </w:rPr>
        <w:t>Comment</w:t>
      </w:r>
    </w:p>
    <w:p w14:paraId="34248A42" w14:textId="77777777" w:rsidR="001E4BC8" w:rsidRPr="00E36BBE" w:rsidRDefault="001E4BC8" w:rsidP="00805420">
      <w:pPr>
        <w:autoSpaceDE w:val="0"/>
        <w:autoSpaceDN w:val="0"/>
        <w:adjustRightInd w:val="0"/>
        <w:spacing w:after="0" w:line="240" w:lineRule="auto"/>
        <w:rPr>
          <w:rFonts w:ascii="Times New Roman" w:hAnsi="Times New Roman" w:cs="Times New Roman"/>
          <w:sz w:val="24"/>
          <w:szCs w:val="24"/>
        </w:rPr>
      </w:pPr>
    </w:p>
    <w:p w14:paraId="78D8DE50" w14:textId="77777777" w:rsidR="001E4BC8" w:rsidRPr="00E36BBE" w:rsidRDefault="001E4BC8" w:rsidP="00805420">
      <w:pPr>
        <w:autoSpaceDE w:val="0"/>
        <w:autoSpaceDN w:val="0"/>
        <w:adjustRightInd w:val="0"/>
        <w:spacing w:after="0" w:line="240" w:lineRule="auto"/>
        <w:rPr>
          <w:rFonts w:ascii="Times New Roman" w:hAnsi="Times New Roman" w:cs="Times New Roman"/>
          <w:sz w:val="24"/>
          <w:szCs w:val="24"/>
        </w:rPr>
      </w:pPr>
      <w:r w:rsidRPr="00E36BBE">
        <w:rPr>
          <w:rFonts w:ascii="Times New Roman" w:hAnsi="Times New Roman" w:cs="Times New Roman"/>
          <w:sz w:val="24"/>
          <w:szCs w:val="24"/>
        </w:rPr>
        <w:tab/>
        <w:t>Use</w:t>
      </w:r>
      <w:bookmarkStart w:id="2" w:name="_Hlk203993931"/>
      <w:r w:rsidRPr="00E36BBE">
        <w:rPr>
          <w:rFonts w:ascii="Times New Roman" w:hAnsi="Times New Roman" w:cs="Times New Roman"/>
          <w:sz w:val="24"/>
          <w:szCs w:val="24"/>
        </w:rPr>
        <w:t xml:space="preserve"> this instruction only in conjunction with the applicable </w:t>
      </w:r>
      <w:proofErr w:type="gramStart"/>
      <w:r w:rsidRPr="00E36BBE">
        <w:rPr>
          <w:rFonts w:ascii="Times New Roman" w:hAnsi="Times New Roman" w:cs="Times New Roman"/>
          <w:sz w:val="24"/>
          <w:szCs w:val="24"/>
        </w:rPr>
        <w:t>elements</w:t>
      </w:r>
      <w:proofErr w:type="gramEnd"/>
      <w:r w:rsidRPr="00E36BBE">
        <w:rPr>
          <w:rFonts w:ascii="Times New Roman" w:hAnsi="Times New Roman" w:cs="Times New Roman"/>
          <w:sz w:val="24"/>
          <w:szCs w:val="24"/>
        </w:rPr>
        <w:t xml:space="preserve"> instructions, Instructions 9.3–9.8, and when the plaintiff is a private citizen.  Use Instruction 9.9 (Particular Rights—First Amendment—Public Employees—Speech</w:t>
      </w:r>
      <w:r w:rsidRPr="00E36BBE">
        <w:rPr>
          <w:rFonts w:ascii="Times New Roman" w:hAnsi="Times New Roman" w:cs="Times New Roman"/>
          <w:b/>
          <w:bCs/>
          <w:sz w:val="24"/>
          <w:szCs w:val="24"/>
        </w:rPr>
        <w:t xml:space="preserve">) </w:t>
      </w:r>
      <w:r w:rsidRPr="00E36BBE">
        <w:rPr>
          <w:rFonts w:ascii="Times New Roman" w:hAnsi="Times New Roman" w:cs="Times New Roman"/>
          <w:sz w:val="24"/>
          <w:szCs w:val="24"/>
        </w:rPr>
        <w:t xml:space="preserve">when the plaintiff is a public employee.  Because this instruction is phrased in terms focusing the jury on the defendant’s liability for certain acts, the instruction should be modified to the extent liability is premised on a failure to act to avoid any risk of misstating the law.  </w:t>
      </w:r>
      <w:r w:rsidRPr="00E36BBE">
        <w:rPr>
          <w:rFonts w:ascii="Times New Roman" w:hAnsi="Times New Roman" w:cs="Times New Roman"/>
          <w:i/>
          <w:iCs/>
          <w:sz w:val="24"/>
          <w:szCs w:val="24"/>
        </w:rPr>
        <w:t>See Clem v. Lomeli</w:t>
      </w:r>
      <w:r w:rsidRPr="00E36BBE">
        <w:rPr>
          <w:rFonts w:ascii="Times New Roman" w:hAnsi="Times New Roman" w:cs="Times New Roman"/>
          <w:sz w:val="24"/>
          <w:szCs w:val="24"/>
        </w:rPr>
        <w:t>, 566 F.3d 1177, 1181-82 (9th Cir. 2009).</w:t>
      </w:r>
    </w:p>
    <w:p w14:paraId="32D5A92F" w14:textId="77777777" w:rsidR="001E4BC8" w:rsidRPr="00E36BBE" w:rsidRDefault="001E4BC8" w:rsidP="00805420">
      <w:pPr>
        <w:autoSpaceDE w:val="0"/>
        <w:autoSpaceDN w:val="0"/>
        <w:adjustRightInd w:val="0"/>
        <w:spacing w:after="0" w:line="240" w:lineRule="auto"/>
        <w:rPr>
          <w:rFonts w:ascii="Times New Roman" w:hAnsi="Times New Roman" w:cs="Times New Roman"/>
          <w:sz w:val="24"/>
          <w:szCs w:val="24"/>
        </w:rPr>
      </w:pPr>
    </w:p>
    <w:p w14:paraId="1EA635B7" w14:textId="77777777" w:rsidR="00805420" w:rsidRPr="00E36BBE" w:rsidRDefault="001E4BC8" w:rsidP="00805420">
      <w:pPr>
        <w:autoSpaceDE w:val="0"/>
        <w:autoSpaceDN w:val="0"/>
        <w:adjustRightInd w:val="0"/>
        <w:spacing w:after="0" w:line="240" w:lineRule="auto"/>
        <w:rPr>
          <w:rFonts w:ascii="Times New Roman" w:hAnsi="Times New Roman" w:cs="Times New Roman"/>
          <w:sz w:val="24"/>
          <w:szCs w:val="24"/>
        </w:rPr>
      </w:pPr>
      <w:r w:rsidRPr="00E36BBE">
        <w:rPr>
          <w:rFonts w:ascii="Times New Roman" w:hAnsi="Times New Roman" w:cs="Times New Roman"/>
          <w:sz w:val="24"/>
          <w:szCs w:val="24"/>
        </w:rPr>
        <w:tab/>
      </w:r>
      <w:r w:rsidR="00805420" w:rsidRPr="00E36BBE">
        <w:rPr>
          <w:rFonts w:ascii="Times New Roman" w:hAnsi="Times New Roman" w:cs="Times New Roman"/>
          <w:sz w:val="24"/>
          <w:szCs w:val="24"/>
        </w:rPr>
        <w:t xml:space="preserve">Under the First Amendment to the United States Constitution, a citizen has the right to be free from governmental action taken to retaliate against the citizen’s exercise of First Amendment rights or to deter the citizen from exercising those rights in the future. </w:t>
      </w:r>
      <w:r w:rsidR="00805420" w:rsidRPr="00E36BBE">
        <w:rPr>
          <w:rFonts w:ascii="Times New Roman" w:hAnsi="Times New Roman" w:cs="Times New Roman"/>
          <w:i/>
          <w:iCs/>
          <w:sz w:val="24"/>
          <w:szCs w:val="24"/>
        </w:rPr>
        <w:t xml:space="preserve">Sloman v. </w:t>
      </w:r>
      <w:r w:rsidR="00805420" w:rsidRPr="00E36BBE">
        <w:rPr>
          <w:rFonts w:ascii="Times New Roman" w:hAnsi="Times New Roman" w:cs="Times New Roman"/>
          <w:i/>
          <w:iCs/>
          <w:sz w:val="24"/>
          <w:szCs w:val="24"/>
        </w:rPr>
        <w:lastRenderedPageBreak/>
        <w:t xml:space="preserve">Tadlock, </w:t>
      </w:r>
      <w:r w:rsidR="00805420" w:rsidRPr="00E36BBE">
        <w:rPr>
          <w:rFonts w:ascii="Times New Roman" w:hAnsi="Times New Roman" w:cs="Times New Roman"/>
          <w:sz w:val="24"/>
          <w:szCs w:val="24"/>
        </w:rPr>
        <w:t xml:space="preserve">21 F.3d 1462, 1469-70 (9th Cir. 1994); </w:t>
      </w:r>
      <w:r w:rsidR="00805420" w:rsidRPr="00E36BBE">
        <w:rPr>
          <w:rFonts w:ascii="Times New Roman" w:hAnsi="Times New Roman" w:cs="Times New Roman"/>
          <w:i/>
          <w:iCs/>
          <w:sz w:val="24"/>
          <w:szCs w:val="24"/>
        </w:rPr>
        <w:t>see also</w:t>
      </w:r>
      <w:r w:rsidR="00805420" w:rsidRPr="00E36BBE">
        <w:rPr>
          <w:rFonts w:ascii="Times New Roman" w:hAnsi="Times New Roman" w:cs="Times New Roman"/>
          <w:sz w:val="24"/>
          <w:szCs w:val="24"/>
        </w:rPr>
        <w:t xml:space="preserve"> </w:t>
      </w:r>
      <w:r w:rsidR="00805420" w:rsidRPr="00E36BBE">
        <w:rPr>
          <w:rFonts w:ascii="Times New Roman" w:hAnsi="Times New Roman" w:cs="Times New Roman"/>
          <w:i/>
          <w:iCs/>
          <w:sz w:val="24"/>
          <w:szCs w:val="24"/>
        </w:rPr>
        <w:t>Hartzell v. Marana Unified Sch. Dist</w:t>
      </w:r>
      <w:r w:rsidR="00805420" w:rsidRPr="00E36BBE">
        <w:rPr>
          <w:rFonts w:ascii="Times New Roman" w:hAnsi="Times New Roman" w:cs="Times New Roman"/>
          <w:sz w:val="24"/>
          <w:szCs w:val="24"/>
        </w:rPr>
        <w:t>., 130 F.4th 722, 737 (9th Cir. 2025) (concluding that a policy that allowed “the District to prohibit speech that it finds ‘offensive or inappropriate’” violated the “bedrock principle underlying the First Amendment . . . that the government may not prohibit the expression of an idea simply because society finds the idea itself offensive or disagreeable”) (citation omitted).</w:t>
      </w:r>
      <w:r w:rsidR="00805420" w:rsidRPr="00E36BBE">
        <w:rPr>
          <w:rFonts w:ascii="Times New Roman" w:hAnsi="Times New Roman" w:cs="Times New Roman"/>
          <w:strike/>
          <w:sz w:val="24"/>
          <w:szCs w:val="24"/>
        </w:rPr>
        <w:t xml:space="preserve"> </w:t>
      </w:r>
      <w:r w:rsidR="00805420" w:rsidRPr="00E36BBE">
        <w:rPr>
          <w:rFonts w:ascii="Times New Roman" w:hAnsi="Times New Roman" w:cs="Times New Roman"/>
          <w:sz w:val="24"/>
          <w:szCs w:val="24"/>
        </w:rPr>
        <w:t xml:space="preserve"> “Although officials may constitutionally impose time, place, and manner restrictions on political expression carried out on sidewalks and median strips, they may not ‘discriminate in the regulation of expression on the basis of content of that expression.’ </w:t>
      </w:r>
      <w:r w:rsidR="00805420" w:rsidRPr="00E36BBE">
        <w:rPr>
          <w:rFonts w:ascii="Times New Roman" w:hAnsi="Times New Roman" w:cs="Times New Roman"/>
          <w:strike/>
          <w:sz w:val="24"/>
          <w:szCs w:val="24"/>
        </w:rPr>
        <w:t xml:space="preserve"> </w:t>
      </w:r>
      <w:r w:rsidR="00805420" w:rsidRPr="00E36BBE">
        <w:rPr>
          <w:rFonts w:ascii="Times New Roman" w:hAnsi="Times New Roman" w:cs="Times New Roman"/>
          <w:sz w:val="24"/>
          <w:szCs w:val="24"/>
        </w:rPr>
        <w:t xml:space="preserve">‘State action designed to retaliate against, and chill political expression strikes at the very heart of the First Amendment.’” </w:t>
      </w:r>
      <w:r w:rsidR="00805420" w:rsidRPr="00E36BBE">
        <w:rPr>
          <w:rFonts w:ascii="Times New Roman" w:hAnsi="Times New Roman" w:cs="Times New Roman"/>
          <w:strike/>
          <w:sz w:val="24"/>
          <w:szCs w:val="24"/>
        </w:rPr>
        <w:t xml:space="preserve"> </w:t>
      </w:r>
      <w:r w:rsidR="00805420" w:rsidRPr="00E36BBE">
        <w:rPr>
          <w:rFonts w:ascii="Times New Roman" w:hAnsi="Times New Roman" w:cs="Times New Roman"/>
          <w:i/>
          <w:iCs/>
          <w:sz w:val="24"/>
          <w:szCs w:val="24"/>
        </w:rPr>
        <w:t>Id</w:t>
      </w:r>
      <w:r w:rsidR="00805420" w:rsidRPr="00E36BBE">
        <w:rPr>
          <w:rFonts w:ascii="Times New Roman" w:hAnsi="Times New Roman" w:cs="Times New Roman"/>
          <w:sz w:val="24"/>
          <w:szCs w:val="24"/>
        </w:rPr>
        <w:t xml:space="preserve">. at 1469 (citations omitted).  </w:t>
      </w:r>
    </w:p>
    <w:p w14:paraId="69676AD8"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p>
    <w:p w14:paraId="3F7AD79B" w14:textId="4C9F33BE" w:rsidR="00805420" w:rsidRPr="00E36BBE" w:rsidRDefault="00805420" w:rsidP="00805420">
      <w:pPr>
        <w:widowControl w:val="0"/>
        <w:spacing w:after="0" w:line="240" w:lineRule="auto"/>
        <w:ind w:firstLine="720"/>
        <w:rPr>
          <w:rFonts w:ascii="Times New Roman" w:hAnsi="Times New Roman" w:cs="Times New Roman"/>
          <w:sz w:val="24"/>
          <w:szCs w:val="24"/>
        </w:rPr>
      </w:pPr>
      <w:r w:rsidRPr="00E36BBE">
        <w:rPr>
          <w:rFonts w:ascii="Times New Roman" w:hAnsi="Times New Roman" w:cs="Times New Roman"/>
          <w:sz w:val="24"/>
          <w:szCs w:val="24"/>
        </w:rPr>
        <w:t>However, “members of the public do not have a constitutional right to force the government to listen to their views . . . [a]</w:t>
      </w:r>
      <w:proofErr w:type="spellStart"/>
      <w:r w:rsidRPr="00E36BBE">
        <w:rPr>
          <w:rFonts w:ascii="Times New Roman" w:hAnsi="Times New Roman" w:cs="Times New Roman"/>
          <w:sz w:val="24"/>
          <w:szCs w:val="24"/>
        </w:rPr>
        <w:t>nd</w:t>
      </w:r>
      <w:proofErr w:type="spellEnd"/>
      <w:r w:rsidRPr="00E36BBE">
        <w:rPr>
          <w:rFonts w:ascii="Times New Roman" w:hAnsi="Times New Roman" w:cs="Times New Roman"/>
          <w:sz w:val="24"/>
          <w:szCs w:val="24"/>
        </w:rPr>
        <w:t xml:space="preserve"> the First Amendment does not compel the government to respond to speech directed toward it .” </w:t>
      </w:r>
      <w:r w:rsidRPr="00E36BBE">
        <w:rPr>
          <w:rFonts w:ascii="Times New Roman" w:hAnsi="Times New Roman" w:cs="Times New Roman"/>
          <w:i/>
          <w:iCs/>
          <w:sz w:val="24"/>
          <w:szCs w:val="24"/>
        </w:rPr>
        <w:t>L.F. v. Lake Washington School District #414</w:t>
      </w:r>
      <w:r w:rsidRPr="00E36BBE">
        <w:rPr>
          <w:rFonts w:ascii="Times New Roman" w:hAnsi="Times New Roman" w:cs="Times New Roman"/>
          <w:sz w:val="24"/>
          <w:szCs w:val="24"/>
        </w:rPr>
        <w:t xml:space="preserve">, 947 F.3d 621, 626 (9th Cir. 2020) (citing </w:t>
      </w:r>
      <w:r w:rsidRPr="00E36BBE">
        <w:rPr>
          <w:rFonts w:ascii="Times New Roman" w:hAnsi="Times New Roman" w:cs="Times New Roman"/>
          <w:i/>
          <w:iCs/>
          <w:sz w:val="24"/>
          <w:szCs w:val="24"/>
        </w:rPr>
        <w:t xml:space="preserve">Minn. State Bd. for </w:t>
      </w:r>
      <w:proofErr w:type="spellStart"/>
      <w:r w:rsidRPr="00E36BBE">
        <w:rPr>
          <w:rFonts w:ascii="Times New Roman" w:hAnsi="Times New Roman" w:cs="Times New Roman"/>
          <w:i/>
          <w:iCs/>
          <w:sz w:val="24"/>
          <w:szCs w:val="24"/>
        </w:rPr>
        <w:t>Cmty</w:t>
      </w:r>
      <w:proofErr w:type="spellEnd"/>
      <w:r w:rsidRPr="00E36BBE">
        <w:rPr>
          <w:rFonts w:ascii="Times New Roman" w:hAnsi="Times New Roman" w:cs="Times New Roman"/>
          <w:i/>
          <w:iCs/>
          <w:sz w:val="24"/>
          <w:szCs w:val="24"/>
        </w:rPr>
        <w:t>. Colleges v. Knight</w:t>
      </w:r>
      <w:r w:rsidRPr="00E36BBE">
        <w:rPr>
          <w:rFonts w:ascii="Times New Roman" w:hAnsi="Times New Roman" w:cs="Times New Roman"/>
          <w:sz w:val="24"/>
          <w:szCs w:val="24"/>
        </w:rPr>
        <w:t xml:space="preserve">, 465 U.S. 271, 283 (1984); </w:t>
      </w:r>
      <w:r w:rsidRPr="00E36BBE">
        <w:rPr>
          <w:rFonts w:ascii="Times New Roman" w:hAnsi="Times New Roman" w:cs="Times New Roman"/>
          <w:i/>
          <w:iCs/>
          <w:sz w:val="24"/>
          <w:szCs w:val="24"/>
        </w:rPr>
        <w:t>Smith v. Ark. State Highway Emps., Local 1315</w:t>
      </w:r>
      <w:r w:rsidRPr="00E36BBE">
        <w:rPr>
          <w:rFonts w:ascii="Times New Roman" w:hAnsi="Times New Roman" w:cs="Times New Roman"/>
          <w:sz w:val="24"/>
          <w:szCs w:val="24"/>
        </w:rPr>
        <w:t xml:space="preserve">, 441 U.S. 463, 465 (1979) (per </w:t>
      </w:r>
      <w:proofErr w:type="spellStart"/>
      <w:r w:rsidRPr="00E36BBE">
        <w:rPr>
          <w:rFonts w:ascii="Times New Roman" w:hAnsi="Times New Roman" w:cs="Times New Roman"/>
          <w:sz w:val="24"/>
          <w:szCs w:val="24"/>
        </w:rPr>
        <w:t>curiam</w:t>
      </w:r>
      <w:proofErr w:type="spellEnd"/>
      <w:r w:rsidRPr="00E36BBE">
        <w:rPr>
          <w:rFonts w:ascii="Times New Roman" w:hAnsi="Times New Roman" w:cs="Times New Roman"/>
          <w:sz w:val="24"/>
          <w:szCs w:val="24"/>
        </w:rPr>
        <w:t>)).</w:t>
      </w:r>
    </w:p>
    <w:p w14:paraId="66AE27CD"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p>
    <w:p w14:paraId="4239E327" w14:textId="1290CEB4" w:rsidR="00805420" w:rsidRPr="00E36BBE" w:rsidRDefault="00805420" w:rsidP="00805420">
      <w:pPr>
        <w:widowControl w:val="0"/>
        <w:spacing w:after="0" w:line="240" w:lineRule="auto"/>
        <w:ind w:firstLine="720"/>
        <w:rPr>
          <w:rFonts w:ascii="Times New Roman" w:hAnsi="Times New Roman" w:cs="Times New Roman"/>
          <w:sz w:val="24"/>
          <w:szCs w:val="24"/>
        </w:rPr>
      </w:pPr>
      <w:r w:rsidRPr="00E36BBE">
        <w:rPr>
          <w:rFonts w:ascii="Times New Roman" w:hAnsi="Times New Roman" w:cs="Times New Roman"/>
          <w:sz w:val="24"/>
          <w:szCs w:val="24"/>
        </w:rPr>
        <w:t xml:space="preserve">“A plaintiff may bring a [§] 1983 claim alleging that public officials, acting in their official capacity, took action with the intent to retaliate against, obstruct, or chill the plaintiff’s First Amendment rights.” </w:t>
      </w:r>
      <w:r w:rsidRPr="00E36BBE">
        <w:rPr>
          <w:rFonts w:ascii="Times New Roman" w:hAnsi="Times New Roman" w:cs="Times New Roman"/>
          <w:i/>
          <w:iCs/>
          <w:sz w:val="24"/>
          <w:szCs w:val="24"/>
        </w:rPr>
        <w:t xml:space="preserve">Ariz. Students’ </w:t>
      </w:r>
      <w:proofErr w:type="spellStart"/>
      <w:r w:rsidRPr="00E36BBE">
        <w:rPr>
          <w:rFonts w:ascii="Times New Roman" w:hAnsi="Times New Roman" w:cs="Times New Roman"/>
          <w:i/>
          <w:iCs/>
          <w:sz w:val="24"/>
          <w:szCs w:val="24"/>
        </w:rPr>
        <w:t>Ass’n</w:t>
      </w:r>
      <w:proofErr w:type="spellEnd"/>
      <w:r w:rsidRPr="00E36BBE">
        <w:rPr>
          <w:rFonts w:ascii="Times New Roman" w:hAnsi="Times New Roman" w:cs="Times New Roman"/>
          <w:i/>
          <w:iCs/>
          <w:sz w:val="24"/>
          <w:szCs w:val="24"/>
        </w:rPr>
        <w:t xml:space="preserve"> v. Ariz. Bd. of Regents</w:t>
      </w:r>
      <w:r w:rsidRPr="00E36BBE">
        <w:rPr>
          <w:rFonts w:ascii="Times New Roman" w:hAnsi="Times New Roman" w:cs="Times New Roman"/>
          <w:sz w:val="24"/>
          <w:szCs w:val="24"/>
        </w:rPr>
        <w:t xml:space="preserve">, 824 F.3d 858, 867 (9th Cir. 2016). In </w:t>
      </w:r>
      <w:r w:rsidRPr="00E36BBE">
        <w:rPr>
          <w:rFonts w:ascii="Times New Roman" w:hAnsi="Times New Roman" w:cs="Times New Roman"/>
          <w:i/>
          <w:iCs/>
          <w:sz w:val="24"/>
          <w:szCs w:val="24"/>
        </w:rPr>
        <w:t>Matsumoto v. Labrador</w:t>
      </w:r>
      <w:r w:rsidRPr="00E36BBE">
        <w:rPr>
          <w:rFonts w:ascii="Times New Roman" w:hAnsi="Times New Roman" w:cs="Times New Roman"/>
          <w:sz w:val="24"/>
          <w:szCs w:val="24"/>
        </w:rPr>
        <w:t xml:space="preserve">, 122 F.4th 787, 802 (9th Cir. 2024), the court held that a pre-enforcement action brought by abortion rights advocacy organizations against the Idaho attorney general fell within an exception to </w:t>
      </w:r>
      <w:r w:rsidRPr="00E36BBE">
        <w:rPr>
          <w:rFonts w:ascii="Times New Roman" w:hAnsi="Times New Roman" w:cs="Times New Roman"/>
          <w:i/>
          <w:iCs/>
          <w:sz w:val="24"/>
          <w:szCs w:val="24"/>
        </w:rPr>
        <w:t xml:space="preserve">Ex </w:t>
      </w:r>
      <w:proofErr w:type="spellStart"/>
      <w:r w:rsidRPr="00E36BBE">
        <w:rPr>
          <w:rFonts w:ascii="Times New Roman" w:hAnsi="Times New Roman" w:cs="Times New Roman"/>
          <w:i/>
          <w:iCs/>
          <w:sz w:val="24"/>
          <w:szCs w:val="24"/>
        </w:rPr>
        <w:t>parte</w:t>
      </w:r>
      <w:proofErr w:type="spellEnd"/>
      <w:r w:rsidRPr="00E36BBE">
        <w:rPr>
          <w:rFonts w:ascii="Times New Roman" w:hAnsi="Times New Roman" w:cs="Times New Roman"/>
          <w:i/>
          <w:iCs/>
          <w:sz w:val="24"/>
          <w:szCs w:val="24"/>
        </w:rPr>
        <w:t xml:space="preserve"> Young </w:t>
      </w:r>
      <w:r w:rsidRPr="00E36BBE">
        <w:rPr>
          <w:rFonts w:ascii="Times New Roman" w:hAnsi="Times New Roman" w:cs="Times New Roman"/>
          <w:sz w:val="24"/>
          <w:szCs w:val="24"/>
        </w:rPr>
        <w:t xml:space="preserve">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E36BBE">
        <w:rPr>
          <w:rFonts w:ascii="Times New Roman" w:hAnsi="Times New Roman" w:cs="Times New Roman"/>
          <w:i/>
          <w:iCs/>
          <w:sz w:val="24"/>
          <w:szCs w:val="24"/>
        </w:rPr>
        <w:t xml:space="preserve">Id. </w:t>
      </w:r>
      <w:r w:rsidRPr="00E36BBE">
        <w:rPr>
          <w:rFonts w:ascii="Times New Roman" w:hAnsi="Times New Roman" w:cs="Times New Roman"/>
          <w:sz w:val="24"/>
          <w:szCs w:val="24"/>
        </w:rPr>
        <w:t xml:space="preserve">“To bring a First Amendment retaliation claim, the plaintiff must allege that (1) it engaged in constitutionally protected activity; (2) the defendant’s actions would ‘chill a person of ordinary firmness’ from continuing to engage in the protected activity; and (3) the protected activity was a substantial or motivating factor in the defendant’s conduct—i.e., that there was a nexus between the defendant’s actions and an intent to chill speech.” </w:t>
      </w:r>
      <w:r w:rsidRPr="00E36BBE">
        <w:rPr>
          <w:rFonts w:ascii="Times New Roman" w:hAnsi="Times New Roman" w:cs="Times New Roman"/>
          <w:i/>
          <w:iCs/>
          <w:sz w:val="24"/>
          <w:szCs w:val="24"/>
        </w:rPr>
        <w:t xml:space="preserve">Ariz. Students’ </w:t>
      </w:r>
      <w:proofErr w:type="spellStart"/>
      <w:r w:rsidRPr="00E36BBE">
        <w:rPr>
          <w:rFonts w:ascii="Times New Roman" w:hAnsi="Times New Roman" w:cs="Times New Roman"/>
          <w:i/>
          <w:iCs/>
          <w:sz w:val="24"/>
          <w:szCs w:val="24"/>
        </w:rPr>
        <w:t>Ass’n</w:t>
      </w:r>
      <w:proofErr w:type="spellEnd"/>
      <w:r w:rsidRPr="00E36BBE">
        <w:rPr>
          <w:rFonts w:ascii="Times New Roman" w:hAnsi="Times New Roman" w:cs="Times New Roman"/>
          <w:sz w:val="24"/>
          <w:szCs w:val="24"/>
        </w:rPr>
        <w:t>, 824 F.3d at 867</w:t>
      </w:r>
      <w:r w:rsidRPr="00E36BBE">
        <w:rPr>
          <w:rFonts w:ascii="Times New Roman" w:hAnsi="Times New Roman" w:cs="Times New Roman"/>
          <w:i/>
          <w:iCs/>
          <w:sz w:val="24"/>
          <w:szCs w:val="24"/>
        </w:rPr>
        <w:t>.</w:t>
      </w:r>
      <w:r w:rsidRPr="00E36BBE">
        <w:rPr>
          <w:rFonts w:ascii="Times New Roman" w:hAnsi="Times New Roman" w:cs="Times New Roman"/>
          <w:sz w:val="24"/>
          <w:szCs w:val="24"/>
        </w:rPr>
        <w:t xml:space="preserve">; </w:t>
      </w:r>
      <w:r w:rsidRPr="00E36BBE">
        <w:rPr>
          <w:rFonts w:ascii="Times New Roman" w:hAnsi="Times New Roman" w:cs="Times New Roman"/>
          <w:i/>
          <w:iCs/>
          <w:sz w:val="24"/>
          <w:szCs w:val="24"/>
        </w:rPr>
        <w:t>Sanderlin v. Dwyer</w:t>
      </w:r>
      <w:r w:rsidRPr="00E36BBE">
        <w:rPr>
          <w:rFonts w:ascii="Times New Roman" w:hAnsi="Times New Roman" w:cs="Times New Roman"/>
          <w:sz w:val="24"/>
          <w:szCs w:val="24"/>
        </w:rPr>
        <w:t xml:space="preserve">, 116 F.4th 905, 910-11 (9th Cir. 2024); </w:t>
      </w:r>
      <w:r w:rsidRPr="00E36BBE">
        <w:rPr>
          <w:rFonts w:ascii="Times New Roman" w:hAnsi="Times New Roman" w:cs="Times New Roman"/>
          <w:i/>
          <w:iCs/>
          <w:sz w:val="24"/>
          <w:szCs w:val="24"/>
        </w:rPr>
        <w:t>Koala v. Khosla</w:t>
      </w:r>
      <w:r w:rsidRPr="00E36BBE">
        <w:rPr>
          <w:rFonts w:ascii="Times New Roman" w:hAnsi="Times New Roman" w:cs="Times New Roman"/>
          <w:sz w:val="24"/>
          <w:szCs w:val="24"/>
        </w:rPr>
        <w:t>, 931 F.3d 887, 905 (9th Cir. 2019).</w:t>
      </w:r>
    </w:p>
    <w:p w14:paraId="41CC166D"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p>
    <w:p w14:paraId="4D852379" w14:textId="5856783A" w:rsidR="00805420" w:rsidRPr="00E36BBE" w:rsidRDefault="00805420" w:rsidP="00805420">
      <w:pPr>
        <w:widowControl w:val="0"/>
        <w:spacing w:after="0" w:line="240" w:lineRule="auto"/>
        <w:ind w:firstLine="720"/>
        <w:rPr>
          <w:rFonts w:ascii="Times New Roman" w:hAnsi="Times New Roman" w:cs="Times New Roman"/>
          <w:sz w:val="24"/>
          <w:szCs w:val="24"/>
        </w:rPr>
      </w:pPr>
      <w:r w:rsidRPr="00E36BBE">
        <w:rPr>
          <w:rFonts w:ascii="Times New Roman" w:hAnsi="Times New Roman" w:cs="Times New Roman"/>
          <w:sz w:val="24"/>
          <w:szCs w:val="24"/>
        </w:rPr>
        <w:t xml:space="preserve">Defining “substantial or motivating factor” as a “significant factor” does not misstate the law. </w:t>
      </w:r>
      <w:r w:rsidRPr="00E36BBE">
        <w:rPr>
          <w:rFonts w:ascii="Times New Roman" w:hAnsi="Times New Roman" w:cs="Times New Roman"/>
          <w:i/>
          <w:iCs/>
          <w:sz w:val="24"/>
          <w:szCs w:val="24"/>
        </w:rPr>
        <w:t xml:space="preserve">Ostad v. Or. Health </w:t>
      </w:r>
      <w:proofErr w:type="spellStart"/>
      <w:r w:rsidRPr="00E36BBE">
        <w:rPr>
          <w:rFonts w:ascii="Times New Roman" w:hAnsi="Times New Roman" w:cs="Times New Roman"/>
          <w:i/>
          <w:iCs/>
          <w:sz w:val="24"/>
          <w:szCs w:val="24"/>
        </w:rPr>
        <w:t>Scis</w:t>
      </w:r>
      <w:proofErr w:type="spellEnd"/>
      <w:r w:rsidRPr="00E36BBE">
        <w:rPr>
          <w:rFonts w:ascii="Times New Roman" w:hAnsi="Times New Roman" w:cs="Times New Roman"/>
          <w:i/>
          <w:iCs/>
          <w:sz w:val="24"/>
          <w:szCs w:val="24"/>
        </w:rPr>
        <w:t>. Univ.</w:t>
      </w:r>
      <w:r w:rsidRPr="00E36BBE">
        <w:rPr>
          <w:rFonts w:ascii="Times New Roman" w:hAnsi="Times New Roman" w:cs="Times New Roman"/>
          <w:sz w:val="24"/>
          <w:szCs w:val="24"/>
        </w:rPr>
        <w:t xml:space="preserve">, 327 F.3d 876, 884-85 (9th Cir. 2003); </w:t>
      </w:r>
      <w:r w:rsidRPr="00E36BBE">
        <w:rPr>
          <w:rFonts w:ascii="Times New Roman" w:hAnsi="Times New Roman" w:cs="Times New Roman"/>
          <w:i/>
          <w:iCs/>
          <w:sz w:val="24"/>
          <w:szCs w:val="24"/>
        </w:rPr>
        <w:t>see also Capp v. City of San Diego</w:t>
      </w:r>
      <w:r w:rsidRPr="00E36BBE">
        <w:rPr>
          <w:rFonts w:ascii="Times New Roman" w:hAnsi="Times New Roman" w:cs="Times New Roman"/>
          <w:sz w:val="24"/>
          <w:szCs w:val="24"/>
        </w:rPr>
        <w:t>, 940 F.3d 1046, 1056 (9th Cir. 2019) (explaining that retaliatory intent may still be one substantial or motivating factor for retaliatory conduct even if other, non-retaliatory reasons exist). And “[</w:t>
      </w:r>
      <w:proofErr w:type="spellStart"/>
      <w:r w:rsidRPr="00E36BBE">
        <w:rPr>
          <w:rFonts w:ascii="Times New Roman" w:hAnsi="Times New Roman" w:cs="Times New Roman"/>
          <w:sz w:val="24"/>
          <w:szCs w:val="24"/>
        </w:rPr>
        <w:t>i</w:t>
      </w:r>
      <w:proofErr w:type="spellEnd"/>
      <w:r w:rsidRPr="00E36BBE">
        <w:rPr>
          <w:rFonts w:ascii="Times New Roman" w:hAnsi="Times New Roman" w:cs="Times New Roman"/>
          <w:sz w:val="24"/>
          <w:szCs w:val="24"/>
        </w:rPr>
        <w:t xml:space="preserve">]f a factfinder concludes that there was no legitimate justification for [the defendant’s] actions, they could reasonably infer that those actions were motivated by retaliatory animus.” </w:t>
      </w:r>
      <w:r w:rsidRPr="00E36BBE">
        <w:rPr>
          <w:rFonts w:ascii="Times New Roman" w:hAnsi="Times New Roman" w:cs="Times New Roman"/>
          <w:i/>
          <w:iCs/>
          <w:sz w:val="24"/>
          <w:szCs w:val="24"/>
        </w:rPr>
        <w:t>Sanderlin</w:t>
      </w:r>
      <w:r w:rsidRPr="00E36BBE">
        <w:rPr>
          <w:rFonts w:ascii="Times New Roman" w:hAnsi="Times New Roman" w:cs="Times New Roman"/>
          <w:sz w:val="24"/>
          <w:szCs w:val="24"/>
        </w:rPr>
        <w:t xml:space="preserve">, 116 F.4th at 911. A plaintiff need not prove, however, that “his speech was actually inhibited or suppressed.” </w:t>
      </w:r>
      <w:r w:rsidRPr="00E36BBE">
        <w:rPr>
          <w:rFonts w:ascii="Times New Roman" w:hAnsi="Times New Roman" w:cs="Times New Roman"/>
          <w:i/>
          <w:iCs/>
          <w:sz w:val="24"/>
          <w:szCs w:val="24"/>
        </w:rPr>
        <w:t>Mendocino Env’t Ctr. v. Mendocino County</w:t>
      </w:r>
      <w:r w:rsidRPr="00E36BBE">
        <w:rPr>
          <w:rFonts w:ascii="Times New Roman" w:hAnsi="Times New Roman" w:cs="Times New Roman"/>
          <w:sz w:val="24"/>
          <w:szCs w:val="24"/>
        </w:rPr>
        <w:t xml:space="preserve">, 192 F.3d 1283, 1300 (9th Cir. 1999); </w:t>
      </w:r>
      <w:r w:rsidRPr="00E36BBE">
        <w:rPr>
          <w:rFonts w:ascii="Times New Roman" w:hAnsi="Times New Roman" w:cs="Times New Roman"/>
          <w:i/>
          <w:iCs/>
          <w:sz w:val="24"/>
          <w:szCs w:val="24"/>
        </w:rPr>
        <w:t xml:space="preserve">Ariz. Students’ </w:t>
      </w:r>
      <w:proofErr w:type="spellStart"/>
      <w:r w:rsidRPr="00E36BBE">
        <w:rPr>
          <w:rFonts w:ascii="Times New Roman" w:hAnsi="Times New Roman" w:cs="Times New Roman"/>
          <w:i/>
          <w:iCs/>
          <w:sz w:val="24"/>
          <w:szCs w:val="24"/>
        </w:rPr>
        <w:t>Ass’n</w:t>
      </w:r>
      <w:proofErr w:type="spellEnd"/>
      <w:r w:rsidRPr="00E36BBE">
        <w:rPr>
          <w:rFonts w:ascii="Times New Roman" w:hAnsi="Times New Roman" w:cs="Times New Roman"/>
          <w:sz w:val="24"/>
          <w:szCs w:val="24"/>
        </w:rPr>
        <w:t>, 824 F.3d at 867.</w:t>
      </w:r>
    </w:p>
    <w:p w14:paraId="07AEA490"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p>
    <w:p w14:paraId="51EBE65A"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r w:rsidRPr="00E36BBE">
        <w:rPr>
          <w:rFonts w:ascii="Times New Roman" w:hAnsi="Times New Roman" w:cs="Times New Roman"/>
          <w:i/>
          <w:iCs/>
          <w:sz w:val="24"/>
          <w:szCs w:val="24"/>
        </w:rPr>
        <w:lastRenderedPageBreak/>
        <w:t>But see Sharp v. County of Orange</w:t>
      </w:r>
      <w:r w:rsidRPr="00E36BBE">
        <w:rPr>
          <w:rFonts w:ascii="Times New Roman" w:hAnsi="Times New Roman" w:cs="Times New Roman"/>
          <w:sz w:val="24"/>
          <w:szCs w:val="24"/>
        </w:rPr>
        <w:t xml:space="preserve">, 871 F.3d 901, 919 (9th Cir. 2017) (applying but-for causation standard in summary judgment context); </w:t>
      </w:r>
      <w:r w:rsidRPr="00E36BBE">
        <w:rPr>
          <w:rFonts w:ascii="Times New Roman" w:hAnsi="Times New Roman" w:cs="Times New Roman"/>
          <w:i/>
          <w:iCs/>
          <w:sz w:val="24"/>
          <w:szCs w:val="24"/>
        </w:rPr>
        <w:t>see also Skoog  v. County of Clackamas</w:t>
      </w:r>
      <w:r w:rsidRPr="00E36BBE">
        <w:rPr>
          <w:rFonts w:ascii="Times New Roman" w:hAnsi="Times New Roman" w:cs="Times New Roman"/>
          <w:sz w:val="24"/>
          <w:szCs w:val="24"/>
        </w:rPr>
        <w:t>, 469 F.3d 1221, 1231-32 (9th Cir. 2006).</w:t>
      </w:r>
    </w:p>
    <w:p w14:paraId="61F0F3D1" w14:textId="77777777" w:rsidR="00805420" w:rsidRPr="00E36BBE" w:rsidRDefault="00805420" w:rsidP="00805420">
      <w:pPr>
        <w:widowControl w:val="0"/>
        <w:spacing w:after="0" w:line="240" w:lineRule="auto"/>
        <w:rPr>
          <w:rFonts w:ascii="Times New Roman" w:hAnsi="Times New Roman" w:cs="Times New Roman"/>
          <w:sz w:val="24"/>
          <w:szCs w:val="24"/>
        </w:rPr>
      </w:pPr>
    </w:p>
    <w:p w14:paraId="73C6930E"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r w:rsidRPr="00E36BBE">
        <w:rPr>
          <w:rFonts w:ascii="Times New Roman" w:hAnsi="Times New Roman" w:cs="Times New Roman"/>
          <w:sz w:val="24"/>
          <w:szCs w:val="24"/>
        </w:rPr>
        <w:t xml:space="preserve">In determining whether the First Amendment protects student speech in a public school, it is error to use the “public concern” standard applicable to actions brought by governmental employees. </w:t>
      </w:r>
      <w:r w:rsidRPr="00E36BBE">
        <w:rPr>
          <w:rFonts w:ascii="Times New Roman" w:hAnsi="Times New Roman" w:cs="Times New Roman"/>
          <w:i/>
          <w:iCs/>
          <w:sz w:val="24"/>
          <w:szCs w:val="24"/>
        </w:rPr>
        <w:t xml:space="preserve">Pinard v. Clatskanie Sch. Dist. 6J, </w:t>
      </w:r>
      <w:r w:rsidRPr="00E36BBE">
        <w:rPr>
          <w:rFonts w:ascii="Times New Roman" w:hAnsi="Times New Roman" w:cs="Times New Roman"/>
          <w:sz w:val="24"/>
          <w:szCs w:val="24"/>
        </w:rPr>
        <w:t xml:space="preserve">467 F.3d 755, 759 (9th Cir. 2006). Instead, the proper standard to apply to on campus student speech is set forth in </w:t>
      </w:r>
      <w:r w:rsidRPr="00E36BBE">
        <w:rPr>
          <w:rFonts w:ascii="Times New Roman" w:hAnsi="Times New Roman" w:cs="Times New Roman"/>
          <w:i/>
          <w:iCs/>
          <w:sz w:val="24"/>
          <w:szCs w:val="24"/>
        </w:rPr>
        <w:t>Tinker v. Des Moines Independent Community School District</w:t>
      </w:r>
      <w:r w:rsidRPr="00E36BBE">
        <w:rPr>
          <w:rFonts w:ascii="Times New Roman" w:hAnsi="Times New Roman" w:cs="Times New Roman"/>
          <w:sz w:val="24"/>
          <w:szCs w:val="24"/>
        </w:rPr>
        <w:t xml:space="preserve">, 393 U.S. 503, 514 (1969). </w:t>
      </w:r>
      <w:r w:rsidRPr="00E36BBE">
        <w:rPr>
          <w:rFonts w:ascii="Times New Roman" w:hAnsi="Times New Roman" w:cs="Times New Roman"/>
          <w:i/>
          <w:iCs/>
          <w:sz w:val="24"/>
          <w:szCs w:val="24"/>
        </w:rPr>
        <w:t>Pinard</w:t>
      </w:r>
      <w:r w:rsidRPr="00E36BBE">
        <w:rPr>
          <w:rFonts w:ascii="Times New Roman" w:hAnsi="Times New Roman" w:cs="Times New Roman"/>
          <w:sz w:val="24"/>
          <w:szCs w:val="24"/>
        </w:rPr>
        <w:t>, 467 F.3d at 759</w:t>
      </w:r>
      <w:r w:rsidRPr="00E36BBE">
        <w:rPr>
          <w:rFonts w:ascii="Times New Roman" w:hAnsi="Times New Roman" w:cs="Times New Roman"/>
          <w:i/>
          <w:iCs/>
          <w:sz w:val="24"/>
          <w:szCs w:val="24"/>
        </w:rPr>
        <w:t>; see Mahanoy Area Sch. Dist. v. B.L. ex rel. Levy</w:t>
      </w:r>
      <w:r w:rsidRPr="00E36BBE">
        <w:rPr>
          <w:rFonts w:ascii="Times New Roman" w:hAnsi="Times New Roman" w:cs="Times New Roman"/>
          <w:sz w:val="24"/>
          <w:szCs w:val="24"/>
        </w:rPr>
        <w:t xml:space="preserve">, 594 U.S. 180, 188 (2021) (noting the Court’s prior applications of </w:t>
      </w:r>
      <w:r w:rsidRPr="00E36BBE">
        <w:rPr>
          <w:rFonts w:ascii="Times New Roman" w:hAnsi="Times New Roman" w:cs="Times New Roman"/>
          <w:i/>
          <w:iCs/>
          <w:sz w:val="24"/>
          <w:szCs w:val="24"/>
        </w:rPr>
        <w:t xml:space="preserve">Tinker </w:t>
      </w:r>
      <w:r w:rsidRPr="00E36BBE">
        <w:rPr>
          <w:rFonts w:ascii="Times New Roman" w:hAnsi="Times New Roman" w:cs="Times New Roman"/>
          <w:sz w:val="24"/>
          <w:szCs w:val="24"/>
        </w:rPr>
        <w:t xml:space="preserve">standard as recognizing schools’ “special interest in regulating speech that ‘materially disrupts classwork or involves substantial disorder or invasion of the rights of others’” (citation omitted)); </w:t>
      </w:r>
      <w:r w:rsidRPr="00E36BBE">
        <w:rPr>
          <w:rFonts w:ascii="Times New Roman" w:hAnsi="Times New Roman" w:cs="Times New Roman"/>
          <w:i/>
          <w:iCs/>
          <w:sz w:val="24"/>
          <w:szCs w:val="24"/>
        </w:rPr>
        <w:t>see also Waln v. Dysart School District</w:t>
      </w:r>
      <w:r w:rsidRPr="00E36BBE">
        <w:rPr>
          <w:rFonts w:ascii="Times New Roman" w:hAnsi="Times New Roman" w:cs="Times New Roman"/>
          <w:sz w:val="24"/>
          <w:szCs w:val="24"/>
        </w:rPr>
        <w:t>, 54 F.4th 1152, 1161-63 (9th Cir. 2022).</w:t>
      </w:r>
    </w:p>
    <w:p w14:paraId="24048323"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p>
    <w:p w14:paraId="5C27A3B7"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r w:rsidRPr="00E36BBE">
        <w:rPr>
          <w:rFonts w:ascii="Times New Roman" w:hAnsi="Times New Roman" w:cs="Times New Roman"/>
          <w:sz w:val="24"/>
          <w:szCs w:val="24"/>
        </w:rPr>
        <w:t xml:space="preserve">Relevant considerations into whether speech bears a sufficient nexus to the school include: (1) the degree and likelihood of harm to the school caused or augured by the speech, (2) whether it was reasonably foreseeable that the speech would reach and impact the school, and (3) the relation between the content and context of the speech and the school.” </w:t>
      </w:r>
      <w:r w:rsidRPr="00E36BBE">
        <w:rPr>
          <w:rFonts w:ascii="Times New Roman" w:hAnsi="Times New Roman" w:cs="Times New Roman"/>
          <w:i/>
          <w:iCs/>
          <w:sz w:val="24"/>
          <w:szCs w:val="24"/>
        </w:rPr>
        <w:t>Chen v. Albany Unified Sch. Dist.</w:t>
      </w:r>
      <w:r w:rsidRPr="00E36BBE">
        <w:rPr>
          <w:rFonts w:ascii="Times New Roman" w:hAnsi="Times New Roman" w:cs="Times New Roman"/>
          <w:sz w:val="24"/>
          <w:szCs w:val="24"/>
        </w:rPr>
        <w:t xml:space="preserve">, 56 F.4th 708, 720 (9th Cir. 2022); </w:t>
      </w:r>
      <w:r w:rsidRPr="00E36BBE">
        <w:rPr>
          <w:rFonts w:ascii="Times New Roman" w:hAnsi="Times New Roman" w:cs="Times New Roman"/>
          <w:i/>
          <w:iCs/>
          <w:sz w:val="24"/>
          <w:szCs w:val="24"/>
        </w:rPr>
        <w:t>see also C.R. v. Eugene Sch. Dist. 4J</w:t>
      </w:r>
      <w:r w:rsidRPr="00E36BBE">
        <w:rPr>
          <w:rFonts w:ascii="Times New Roman" w:hAnsi="Times New Roman" w:cs="Times New Roman"/>
          <w:sz w:val="24"/>
          <w:szCs w:val="24"/>
        </w:rPr>
        <w:t xml:space="preserve">, 835 F.3d 1142, 1150-52 (9th Cir. 2016); </w:t>
      </w:r>
      <w:proofErr w:type="spellStart"/>
      <w:r w:rsidRPr="00E36BBE">
        <w:rPr>
          <w:rFonts w:ascii="Times New Roman" w:hAnsi="Times New Roman" w:cs="Times New Roman"/>
          <w:i/>
          <w:iCs/>
          <w:sz w:val="24"/>
          <w:szCs w:val="24"/>
        </w:rPr>
        <w:t>Wynar</w:t>
      </w:r>
      <w:proofErr w:type="spellEnd"/>
      <w:r w:rsidRPr="00E36BBE">
        <w:rPr>
          <w:rFonts w:ascii="Times New Roman" w:hAnsi="Times New Roman" w:cs="Times New Roman"/>
          <w:i/>
          <w:iCs/>
          <w:sz w:val="24"/>
          <w:szCs w:val="24"/>
        </w:rPr>
        <w:t xml:space="preserve"> v. Douglas </w:t>
      </w:r>
      <w:proofErr w:type="spellStart"/>
      <w:r w:rsidRPr="00E36BBE">
        <w:rPr>
          <w:rFonts w:ascii="Times New Roman" w:hAnsi="Times New Roman" w:cs="Times New Roman"/>
          <w:i/>
          <w:iCs/>
          <w:sz w:val="24"/>
          <w:szCs w:val="24"/>
        </w:rPr>
        <w:t>Cnty</w:t>
      </w:r>
      <w:proofErr w:type="spellEnd"/>
      <w:r w:rsidRPr="00E36BBE">
        <w:rPr>
          <w:rFonts w:ascii="Times New Roman" w:hAnsi="Times New Roman" w:cs="Times New Roman"/>
          <w:i/>
          <w:iCs/>
          <w:sz w:val="24"/>
          <w:szCs w:val="24"/>
        </w:rPr>
        <w:t>. Sch. Dist.</w:t>
      </w:r>
      <w:r w:rsidRPr="00E36BBE">
        <w:rPr>
          <w:rFonts w:ascii="Times New Roman" w:hAnsi="Times New Roman" w:cs="Times New Roman"/>
          <w:sz w:val="24"/>
          <w:szCs w:val="24"/>
        </w:rPr>
        <w:t>, 728 F. 3d. 1062, 1069 (9th Cir. 2013).</w:t>
      </w:r>
    </w:p>
    <w:p w14:paraId="77C080B0"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p>
    <w:p w14:paraId="2F15DEA5" w14:textId="5EF276B4" w:rsidR="00805420" w:rsidRPr="00E36BBE" w:rsidRDefault="00805420" w:rsidP="00805420">
      <w:pPr>
        <w:widowControl w:val="0"/>
        <w:spacing w:after="0" w:line="240" w:lineRule="auto"/>
        <w:ind w:firstLine="720"/>
        <w:rPr>
          <w:rFonts w:ascii="Times New Roman" w:hAnsi="Times New Roman" w:cs="Times New Roman"/>
          <w:sz w:val="24"/>
          <w:szCs w:val="24"/>
        </w:rPr>
      </w:pPr>
      <w:r w:rsidRPr="00E36BBE">
        <w:rPr>
          <w:rFonts w:ascii="Times New Roman" w:hAnsi="Times New Roman" w:cs="Times New Roman"/>
          <w:sz w:val="24"/>
          <w:szCs w:val="24"/>
        </w:rPr>
        <w:t xml:space="preserve">The Supreme Court has declined to set forth a “broad, highly general First Amendment rule stating just what counts as ‘off campus’ speech” and, instead, set forth three features of off-campus speech that “diminish the strength of the unique educational characteristics that might call for special First Amendment leeway.” </w:t>
      </w:r>
      <w:r w:rsidRPr="00E36BBE">
        <w:rPr>
          <w:rFonts w:ascii="Times New Roman" w:hAnsi="Times New Roman" w:cs="Times New Roman"/>
          <w:i/>
          <w:iCs/>
          <w:sz w:val="24"/>
          <w:szCs w:val="24"/>
        </w:rPr>
        <w:t>Mahanoy</w:t>
      </w:r>
      <w:r w:rsidRPr="00E36BBE">
        <w:rPr>
          <w:rFonts w:ascii="Times New Roman" w:hAnsi="Times New Roman" w:cs="Times New Roman"/>
          <w:sz w:val="24"/>
          <w:szCs w:val="24"/>
        </w:rPr>
        <w:t xml:space="preserve">, 594 U.S. at 189. First, “a school, in relation to off-campus speech, will rarely stand </w:t>
      </w:r>
      <w:r w:rsidRPr="00E36BBE">
        <w:rPr>
          <w:rFonts w:ascii="Times New Roman" w:hAnsi="Times New Roman" w:cs="Times New Roman"/>
          <w:i/>
          <w:iCs/>
          <w:sz w:val="24"/>
          <w:szCs w:val="24"/>
        </w:rPr>
        <w:t>in loco parentis</w:t>
      </w:r>
      <w:r w:rsidRPr="00E36BBE">
        <w:rPr>
          <w:rFonts w:ascii="Times New Roman" w:hAnsi="Times New Roman" w:cs="Times New Roman"/>
          <w:sz w:val="24"/>
          <w:szCs w:val="24"/>
        </w:rPr>
        <w:t xml:space="preserve">.” </w:t>
      </w:r>
      <w:r w:rsidRPr="00E36BBE">
        <w:rPr>
          <w:rFonts w:ascii="Times New Roman" w:hAnsi="Times New Roman" w:cs="Times New Roman"/>
          <w:i/>
          <w:iCs/>
          <w:sz w:val="24"/>
          <w:szCs w:val="24"/>
        </w:rPr>
        <w:t xml:space="preserve">Id. </w:t>
      </w:r>
      <w:r w:rsidRPr="00E36BBE">
        <w:rPr>
          <w:rFonts w:ascii="Times New Roman" w:hAnsi="Times New Roman" w:cs="Times New Roman"/>
          <w:sz w:val="24"/>
          <w:szCs w:val="24"/>
        </w:rPr>
        <w:t xml:space="preserve">Second, regulation of off-campus speech coupled with regulation of on-campus speech, encompasses the entirety of the speech a student utters in a day. </w:t>
      </w:r>
      <w:r w:rsidRPr="00E36BBE">
        <w:rPr>
          <w:rFonts w:ascii="Times New Roman" w:hAnsi="Times New Roman" w:cs="Times New Roman"/>
          <w:i/>
          <w:iCs/>
          <w:sz w:val="24"/>
          <w:szCs w:val="24"/>
        </w:rPr>
        <w:t xml:space="preserve">Id. </w:t>
      </w:r>
      <w:r w:rsidRPr="00E36BBE">
        <w:rPr>
          <w:rFonts w:ascii="Times New Roman" w:hAnsi="Times New Roman" w:cs="Times New Roman"/>
          <w:sz w:val="24"/>
          <w:szCs w:val="24"/>
        </w:rPr>
        <w:t xml:space="preserve">at 189-90. Third, schools must be mindful of their own interest in protecting students’ unpopular expression, particularly when that expression occurs off-campus, consistent with the role of America’s public schools as “nurseries of democracy.” </w:t>
      </w:r>
      <w:r w:rsidRPr="00E36BBE">
        <w:rPr>
          <w:rFonts w:ascii="Times New Roman" w:hAnsi="Times New Roman" w:cs="Times New Roman"/>
          <w:i/>
          <w:iCs/>
          <w:sz w:val="24"/>
          <w:szCs w:val="24"/>
        </w:rPr>
        <w:t xml:space="preserve">Id. </w:t>
      </w:r>
      <w:r w:rsidRPr="00E36BBE">
        <w:rPr>
          <w:rFonts w:ascii="Times New Roman" w:hAnsi="Times New Roman" w:cs="Times New Roman"/>
          <w:sz w:val="24"/>
          <w:szCs w:val="24"/>
        </w:rPr>
        <w:t>at 190.</w:t>
      </w:r>
    </w:p>
    <w:p w14:paraId="750B1969"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p>
    <w:p w14:paraId="45DAB732"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r w:rsidRPr="00E36BBE">
        <w:rPr>
          <w:rFonts w:ascii="Times New Roman" w:hAnsi="Times New Roman" w:cs="Times New Roman"/>
          <w:sz w:val="24"/>
          <w:szCs w:val="24"/>
        </w:rPr>
        <w:t xml:space="preserve">The additional considerations articulated in </w:t>
      </w:r>
      <w:r w:rsidRPr="00E36BBE">
        <w:rPr>
          <w:rFonts w:ascii="Times New Roman" w:hAnsi="Times New Roman" w:cs="Times New Roman"/>
          <w:i/>
          <w:iCs/>
          <w:sz w:val="24"/>
          <w:szCs w:val="24"/>
        </w:rPr>
        <w:t xml:space="preserve">Mahanoy </w:t>
      </w:r>
      <w:r w:rsidRPr="00E36BBE">
        <w:rPr>
          <w:rFonts w:ascii="Times New Roman" w:hAnsi="Times New Roman" w:cs="Times New Roman"/>
          <w:sz w:val="24"/>
          <w:szCs w:val="24"/>
        </w:rPr>
        <w:t xml:space="preserve">are not inconsistent with the sufficient-nexus test articulated in </w:t>
      </w:r>
      <w:r w:rsidRPr="00E36BBE">
        <w:rPr>
          <w:rFonts w:ascii="Times New Roman" w:hAnsi="Times New Roman" w:cs="Times New Roman"/>
          <w:i/>
          <w:iCs/>
          <w:sz w:val="24"/>
          <w:szCs w:val="24"/>
        </w:rPr>
        <w:t>McNeil. Chen</w:t>
      </w:r>
      <w:r w:rsidRPr="00E36BBE">
        <w:rPr>
          <w:rFonts w:ascii="Times New Roman" w:hAnsi="Times New Roman" w:cs="Times New Roman"/>
          <w:sz w:val="24"/>
          <w:szCs w:val="24"/>
        </w:rPr>
        <w:t xml:space="preserve">, 56 F.4th at 720. Thus, the proper inquiry “must apply the </w:t>
      </w:r>
      <w:r w:rsidRPr="00E36BBE">
        <w:rPr>
          <w:rFonts w:ascii="Times New Roman" w:hAnsi="Times New Roman" w:cs="Times New Roman"/>
          <w:i/>
          <w:iCs/>
          <w:sz w:val="24"/>
          <w:szCs w:val="24"/>
        </w:rPr>
        <w:t xml:space="preserve">McNeil </w:t>
      </w:r>
      <w:r w:rsidRPr="00E36BBE">
        <w:rPr>
          <w:rFonts w:ascii="Times New Roman" w:hAnsi="Times New Roman" w:cs="Times New Roman"/>
          <w:sz w:val="24"/>
          <w:szCs w:val="24"/>
        </w:rPr>
        <w:t xml:space="preserve">sufficient-nexus test to the speech at issue . . . , keeping in mind the additional considerations identified in </w:t>
      </w:r>
      <w:r w:rsidRPr="00E36BBE">
        <w:rPr>
          <w:rFonts w:ascii="Times New Roman" w:hAnsi="Times New Roman" w:cs="Times New Roman"/>
          <w:i/>
          <w:iCs/>
          <w:sz w:val="24"/>
          <w:szCs w:val="24"/>
        </w:rPr>
        <w:t>Mahanoy</w:t>
      </w:r>
      <w:r w:rsidRPr="00E36BBE">
        <w:rPr>
          <w:rFonts w:ascii="Times New Roman" w:hAnsi="Times New Roman" w:cs="Times New Roman"/>
          <w:sz w:val="24"/>
          <w:szCs w:val="24"/>
        </w:rPr>
        <w:t xml:space="preserve">.” </w:t>
      </w:r>
      <w:r w:rsidRPr="00E36BBE">
        <w:rPr>
          <w:rFonts w:ascii="Times New Roman" w:hAnsi="Times New Roman" w:cs="Times New Roman"/>
          <w:i/>
          <w:iCs/>
          <w:sz w:val="24"/>
          <w:szCs w:val="24"/>
        </w:rPr>
        <w:t>Id</w:t>
      </w:r>
      <w:r w:rsidRPr="00E36BBE">
        <w:rPr>
          <w:rFonts w:ascii="Times New Roman" w:hAnsi="Times New Roman" w:cs="Times New Roman"/>
          <w:sz w:val="24"/>
          <w:szCs w:val="24"/>
        </w:rPr>
        <w:t>.</w:t>
      </w:r>
    </w:p>
    <w:p w14:paraId="72B2E249"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p>
    <w:p w14:paraId="53A004A7" w14:textId="77777777" w:rsidR="00805420" w:rsidRPr="00E36BBE" w:rsidRDefault="00805420" w:rsidP="00FD6618">
      <w:pPr>
        <w:widowControl w:val="0"/>
        <w:spacing w:after="0" w:line="240" w:lineRule="auto"/>
        <w:ind w:firstLine="720"/>
        <w:rPr>
          <w:rFonts w:ascii="Times New Roman" w:hAnsi="Times New Roman" w:cs="Times New Roman"/>
          <w:sz w:val="24"/>
          <w:szCs w:val="24"/>
        </w:rPr>
      </w:pPr>
      <w:r w:rsidRPr="00E36BBE">
        <w:rPr>
          <w:rFonts w:ascii="Times New Roman" w:hAnsi="Times New Roman" w:cs="Times New Roman"/>
          <w:sz w:val="24"/>
          <w:szCs w:val="24"/>
        </w:rPr>
        <w:t xml:space="preserve">“[A] speech restriction cannot satisfy the time, place, manner test if the restriction does not contain clear standards.” </w:t>
      </w:r>
      <w:r w:rsidRPr="00E36BBE">
        <w:rPr>
          <w:rFonts w:ascii="Times New Roman" w:hAnsi="Times New Roman" w:cs="Times New Roman"/>
          <w:i/>
          <w:iCs/>
          <w:sz w:val="24"/>
          <w:szCs w:val="24"/>
        </w:rPr>
        <w:t>OSU Student All. v. Ray</w:t>
      </w:r>
      <w:r w:rsidRPr="00E36BBE">
        <w:rPr>
          <w:rFonts w:ascii="Times New Roman" w:hAnsi="Times New Roman" w:cs="Times New Roman"/>
          <w:sz w:val="24"/>
          <w:szCs w:val="24"/>
        </w:rPr>
        <w:t xml:space="preserve">, 699 F.3d 1053, 1066 (9th Cir. 2012); </w:t>
      </w:r>
      <w:r w:rsidRPr="00E36BBE">
        <w:rPr>
          <w:rFonts w:ascii="Times New Roman" w:hAnsi="Times New Roman" w:cs="Times New Roman"/>
          <w:i/>
          <w:iCs/>
          <w:sz w:val="24"/>
          <w:szCs w:val="24"/>
        </w:rPr>
        <w:t>see also City of Lakewood v. Plain Dealer Pub. Co.</w:t>
      </w:r>
      <w:r w:rsidRPr="00E36BBE">
        <w:rPr>
          <w:rFonts w:ascii="Times New Roman" w:hAnsi="Times New Roman" w:cs="Times New Roman"/>
          <w:sz w:val="24"/>
          <w:szCs w:val="24"/>
        </w:rPr>
        <w:t xml:space="preserve">, 486 U.S. 750, 758 (1988) (“[T]he absence of express standards makes it difficult to distinguish, ‘as applied,’ between a licensor’s legitimate denial of a permit and its illegitimate abuse of censorial power. Standards provide the guideposts that check the licensor and allow courts quickly and easily to determine whether the licensor is discriminating against disfavored speech.”). Off-campus student speech may not be protected under the First Amendment when, based on the totality of the circumstances, the speech bears a </w:t>
      </w:r>
      <w:r w:rsidRPr="00E36BBE">
        <w:rPr>
          <w:rFonts w:ascii="Times New Roman" w:hAnsi="Times New Roman" w:cs="Times New Roman"/>
          <w:sz w:val="24"/>
          <w:szCs w:val="24"/>
        </w:rPr>
        <w:lastRenderedPageBreak/>
        <w:t xml:space="preserve">sufficient nexus to the school. </w:t>
      </w:r>
      <w:r w:rsidRPr="00E36BBE">
        <w:rPr>
          <w:rFonts w:ascii="Times New Roman" w:hAnsi="Times New Roman" w:cs="Times New Roman"/>
          <w:i/>
          <w:iCs/>
          <w:sz w:val="24"/>
          <w:szCs w:val="24"/>
        </w:rPr>
        <w:t>McNeil v. Sherwood Sch. Dist. 88J</w:t>
      </w:r>
      <w:r w:rsidRPr="00E36BBE">
        <w:rPr>
          <w:rFonts w:ascii="Times New Roman" w:hAnsi="Times New Roman" w:cs="Times New Roman"/>
          <w:sz w:val="24"/>
          <w:szCs w:val="24"/>
        </w:rPr>
        <w:t>, 918 F.3d 700, 707 (9th Cir. 2019).</w:t>
      </w:r>
    </w:p>
    <w:p w14:paraId="3CDF5781" w14:textId="77777777" w:rsidR="00805420" w:rsidRPr="00E36BBE" w:rsidRDefault="00805420" w:rsidP="00FD6618">
      <w:pPr>
        <w:widowControl w:val="0"/>
        <w:spacing w:after="0" w:line="240" w:lineRule="auto"/>
        <w:ind w:firstLine="720"/>
        <w:rPr>
          <w:rFonts w:ascii="Times New Roman" w:hAnsi="Times New Roman" w:cs="Times New Roman"/>
          <w:sz w:val="24"/>
          <w:szCs w:val="24"/>
        </w:rPr>
      </w:pPr>
    </w:p>
    <w:p w14:paraId="0ED9F378" w14:textId="77777777" w:rsidR="00FD6618" w:rsidRPr="00E36BBE" w:rsidRDefault="00FD6618" w:rsidP="00FD6618">
      <w:pPr>
        <w:widowControl w:val="0"/>
        <w:spacing w:after="0" w:line="240" w:lineRule="auto"/>
        <w:ind w:firstLine="720"/>
        <w:rPr>
          <w:rFonts w:ascii="Times New Roman" w:eastAsia="Calibri" w:hAnsi="Times New Roman" w:cs="Times New Roman"/>
          <w:sz w:val="24"/>
          <w:szCs w:val="24"/>
        </w:rPr>
      </w:pPr>
      <w:r w:rsidRPr="00E36BBE">
        <w:rPr>
          <w:rFonts w:ascii="Times New Roman" w:eastAsia="Calibri" w:hAnsi="Times New Roman" w:cs="Times New Roman"/>
          <w:sz w:val="24"/>
          <w:szCs w:val="24"/>
        </w:rPr>
        <w:t xml:space="preserve">For a discussion of the boundaries between First Amendment protected expression and unprotected business activity by a street performer, </w:t>
      </w:r>
      <w:r w:rsidRPr="00E36BBE">
        <w:rPr>
          <w:rFonts w:ascii="Times New Roman" w:eastAsia="Calibri" w:hAnsi="Times New Roman" w:cs="Times New Roman"/>
          <w:i/>
          <w:iCs/>
          <w:sz w:val="24"/>
          <w:szCs w:val="24"/>
        </w:rPr>
        <w:t>see Santopietro v. Howell</w:t>
      </w:r>
      <w:r w:rsidRPr="00E36BBE">
        <w:rPr>
          <w:rFonts w:ascii="Times New Roman" w:eastAsia="Calibri" w:hAnsi="Times New Roman" w:cs="Times New Roman"/>
          <w:sz w:val="24"/>
          <w:szCs w:val="24"/>
        </w:rPr>
        <w:t xml:space="preserve">, 857 F.3d 980 (9th Cir. 2017).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E36BBE">
        <w:rPr>
          <w:rFonts w:ascii="Times New Roman" w:eastAsia="Calibri" w:hAnsi="Times New Roman" w:cs="Times New Roman"/>
          <w:i/>
          <w:iCs/>
          <w:sz w:val="24"/>
          <w:szCs w:val="24"/>
        </w:rPr>
        <w:t>Rhodes v. Robinson</w:t>
      </w:r>
      <w:r w:rsidRPr="00E36BBE">
        <w:rPr>
          <w:rFonts w:ascii="Times New Roman" w:eastAsia="Calibri" w:hAnsi="Times New Roman" w:cs="Times New Roman"/>
          <w:sz w:val="24"/>
          <w:szCs w:val="24"/>
        </w:rPr>
        <w:t xml:space="preserve">, 408 F.3d 559, 567-68 (9th Cir. 2005) (footnote omitted); </w:t>
      </w:r>
      <w:r w:rsidRPr="00E36BBE">
        <w:rPr>
          <w:rFonts w:ascii="Times New Roman" w:eastAsia="Calibri" w:hAnsi="Times New Roman" w:cs="Times New Roman"/>
          <w:i/>
          <w:iCs/>
          <w:sz w:val="24"/>
          <w:szCs w:val="24"/>
        </w:rPr>
        <w:t>accord Chavez v. Robinson</w:t>
      </w:r>
      <w:r w:rsidRPr="00E36BBE">
        <w:rPr>
          <w:rFonts w:ascii="Times New Roman" w:eastAsia="Calibri" w:hAnsi="Times New Roman" w:cs="Times New Roman"/>
          <w:sz w:val="24"/>
          <w:szCs w:val="24"/>
        </w:rPr>
        <w:t xml:space="preserve">, 12 F.4th 978, 1001 (9th Cir. 2021); </w:t>
      </w:r>
      <w:r w:rsidRPr="00E36BBE">
        <w:rPr>
          <w:rFonts w:ascii="Times New Roman" w:eastAsia="Calibri" w:hAnsi="Times New Roman" w:cs="Times New Roman"/>
          <w:i/>
          <w:sz w:val="24"/>
          <w:szCs w:val="24"/>
          <w:lang w:val="en-CA"/>
        </w:rPr>
        <w:t xml:space="preserve">Bird v. </w:t>
      </w:r>
      <w:proofErr w:type="spellStart"/>
      <w:r w:rsidRPr="00E36BBE">
        <w:rPr>
          <w:rFonts w:ascii="Times New Roman" w:eastAsia="Calibri" w:hAnsi="Times New Roman" w:cs="Times New Roman"/>
          <w:i/>
          <w:sz w:val="24"/>
          <w:szCs w:val="24"/>
          <w:lang w:val="en-CA"/>
        </w:rPr>
        <w:t>Dzurenda</w:t>
      </w:r>
      <w:proofErr w:type="spellEnd"/>
      <w:r w:rsidRPr="00E36BBE">
        <w:rPr>
          <w:rFonts w:ascii="Times New Roman" w:eastAsia="Calibri" w:hAnsi="Times New Roman" w:cs="Times New Roman"/>
          <w:i/>
          <w:sz w:val="24"/>
          <w:szCs w:val="24"/>
        </w:rPr>
        <w:t>,</w:t>
      </w:r>
      <w:r w:rsidRPr="00E36BBE">
        <w:rPr>
          <w:rFonts w:ascii="Times New Roman" w:eastAsia="Calibri" w:hAnsi="Times New Roman" w:cs="Times New Roman"/>
          <w:sz w:val="24"/>
          <w:szCs w:val="24"/>
        </w:rPr>
        <w:t xml:space="preserve"> 131 F.4th 787, 790-91 (9th Cir. 2025) (concluding that “grievances </w:t>
      </w:r>
      <w:r w:rsidRPr="00E36BBE">
        <w:rPr>
          <w:rFonts w:ascii="Times New Roman" w:eastAsia="Calibri" w:hAnsi="Times New Roman" w:cs="Times New Roman"/>
          <w:i/>
          <w:iCs/>
          <w:sz w:val="24"/>
          <w:szCs w:val="24"/>
        </w:rPr>
        <w:t>against other prisoners</w:t>
      </w:r>
      <w:r w:rsidRPr="00E36BBE">
        <w:rPr>
          <w:rFonts w:ascii="Times New Roman" w:eastAsia="Calibri" w:hAnsi="Times New Roman" w:cs="Times New Roman"/>
          <w:sz w:val="24"/>
          <w:szCs w:val="24"/>
        </w:rPr>
        <w:t xml:space="preserve"> implicate different penological interests than grievances </w:t>
      </w:r>
      <w:r w:rsidRPr="00E36BBE">
        <w:rPr>
          <w:rFonts w:ascii="Times New Roman" w:eastAsia="Calibri" w:hAnsi="Times New Roman" w:cs="Times New Roman"/>
          <w:i/>
          <w:iCs/>
          <w:sz w:val="24"/>
          <w:szCs w:val="24"/>
        </w:rPr>
        <w:t>against prison officials</w:t>
      </w:r>
      <w:r w:rsidRPr="00E36BBE">
        <w:rPr>
          <w:rFonts w:ascii="Times New Roman" w:eastAsia="Calibri" w:hAnsi="Times New Roman" w:cs="Times New Roman"/>
          <w:sz w:val="24"/>
          <w:szCs w:val="24"/>
        </w:rPr>
        <w:t xml:space="preserve">.”). The filing of a grievance or complaint, whether it be verbal or written, formal or informal, is protected </w:t>
      </w:r>
      <w:proofErr w:type="gramStart"/>
      <w:r w:rsidRPr="00E36BBE">
        <w:rPr>
          <w:rFonts w:ascii="Times New Roman" w:eastAsia="Calibri" w:hAnsi="Times New Roman" w:cs="Times New Roman"/>
          <w:sz w:val="24"/>
          <w:szCs w:val="24"/>
        </w:rPr>
        <w:t>conduct.</w:t>
      </w:r>
      <w:r w:rsidRPr="00E36BBE">
        <w:rPr>
          <w:rFonts w:ascii="Times New Roman" w:eastAsia="Calibri" w:hAnsi="Times New Roman" w:cs="Times New Roman"/>
          <w:strike/>
          <w:sz w:val="24"/>
          <w:szCs w:val="24"/>
        </w:rPr>
        <w:t>.</w:t>
      </w:r>
      <w:proofErr w:type="gramEnd"/>
      <w:r w:rsidRPr="00E36BBE">
        <w:rPr>
          <w:rFonts w:ascii="Times New Roman" w:eastAsia="Calibri" w:hAnsi="Times New Roman" w:cs="Times New Roman"/>
          <w:sz w:val="24"/>
          <w:szCs w:val="24"/>
        </w:rPr>
        <w:t xml:space="preserve"> </w:t>
      </w:r>
      <w:r w:rsidRPr="00E36BBE">
        <w:rPr>
          <w:rFonts w:ascii="Times New Roman" w:eastAsia="Calibri" w:hAnsi="Times New Roman" w:cs="Times New Roman"/>
          <w:i/>
          <w:iCs/>
          <w:sz w:val="24"/>
          <w:szCs w:val="24"/>
        </w:rPr>
        <w:t>Entler v. Gregoire</w:t>
      </w:r>
      <w:r w:rsidRPr="00E36BBE">
        <w:rPr>
          <w:rFonts w:ascii="Times New Roman" w:eastAsia="Calibri" w:hAnsi="Times New Roman" w:cs="Times New Roman"/>
          <w:sz w:val="24"/>
          <w:szCs w:val="24"/>
        </w:rPr>
        <w:t xml:space="preserve">, 872 F.3d 1031, 1039 (9th Cir. 2017). Threats to sue and/or pursue criminal charges fall within the purview of the constitutionally protected right to file grievances. </w:t>
      </w:r>
      <w:r w:rsidRPr="00E36BBE">
        <w:rPr>
          <w:rFonts w:ascii="Times New Roman" w:eastAsia="Calibri" w:hAnsi="Times New Roman" w:cs="Times New Roman"/>
          <w:i/>
          <w:iCs/>
          <w:sz w:val="24"/>
          <w:szCs w:val="24"/>
        </w:rPr>
        <w:t xml:space="preserve">Id. </w:t>
      </w:r>
      <w:r w:rsidRPr="00E36BBE">
        <w:rPr>
          <w:rFonts w:ascii="Times New Roman" w:eastAsia="Calibri" w:hAnsi="Times New Roman" w:cs="Times New Roman"/>
          <w:sz w:val="24"/>
          <w:szCs w:val="24"/>
        </w:rPr>
        <w:t>at 1044</w:t>
      </w:r>
      <w:r w:rsidRPr="00E36BBE">
        <w:rPr>
          <w:rFonts w:ascii="Times New Roman" w:eastAsia="Calibri" w:hAnsi="Times New Roman" w:cs="Times New Roman"/>
          <w:i/>
          <w:iCs/>
          <w:sz w:val="24"/>
          <w:szCs w:val="24"/>
        </w:rPr>
        <w:t xml:space="preserve">. </w:t>
      </w:r>
      <w:r w:rsidRPr="00E36BBE">
        <w:rPr>
          <w:rFonts w:ascii="Times New Roman" w:eastAsia="Calibri" w:hAnsi="Times New Roman" w:cs="Times New Roman"/>
          <w:sz w:val="24"/>
          <w:szCs w:val="24"/>
        </w:rPr>
        <w:t xml:space="preserve">“Prisoners have a First Amendment right to receive information while incarcerated,” but this right must be balanced against a prison’s need for effective administration and reform. </w:t>
      </w:r>
      <w:r w:rsidRPr="00E36BBE">
        <w:rPr>
          <w:rFonts w:ascii="Times New Roman" w:eastAsia="Calibri" w:hAnsi="Times New Roman" w:cs="Times New Roman"/>
          <w:i/>
          <w:iCs/>
          <w:sz w:val="24"/>
          <w:szCs w:val="24"/>
        </w:rPr>
        <w:t>Jones v. Slade</w:t>
      </w:r>
      <w:r w:rsidRPr="00E36BBE">
        <w:rPr>
          <w:rFonts w:ascii="Times New Roman" w:eastAsia="Calibri" w:hAnsi="Times New Roman" w:cs="Times New Roman"/>
          <w:sz w:val="24"/>
          <w:szCs w:val="24"/>
        </w:rPr>
        <w:t xml:space="preserve">, 23 F.4th 1124, 1134 (9th Cir. 2022). Prison regulations that affect information or mailings available to inmates are reviewed pursuant to the four-factor deferential standard set forth in </w:t>
      </w:r>
      <w:r w:rsidRPr="00E36BBE">
        <w:rPr>
          <w:rFonts w:ascii="Times New Roman" w:eastAsia="Calibri" w:hAnsi="Times New Roman" w:cs="Times New Roman"/>
          <w:i/>
          <w:iCs/>
          <w:sz w:val="24"/>
          <w:szCs w:val="24"/>
        </w:rPr>
        <w:t>Turner v. Safley</w:t>
      </w:r>
      <w:r w:rsidRPr="00E36BBE">
        <w:rPr>
          <w:rFonts w:ascii="Times New Roman" w:eastAsia="Calibri" w:hAnsi="Times New Roman" w:cs="Times New Roman"/>
          <w:sz w:val="24"/>
          <w:szCs w:val="24"/>
        </w:rPr>
        <w:t xml:space="preserve">, 482 U.S. 78 (1987). </w:t>
      </w:r>
      <w:r w:rsidRPr="00E36BBE">
        <w:rPr>
          <w:rFonts w:ascii="Times New Roman" w:eastAsia="Calibri" w:hAnsi="Times New Roman" w:cs="Times New Roman"/>
          <w:i/>
          <w:iCs/>
          <w:sz w:val="24"/>
          <w:szCs w:val="24"/>
        </w:rPr>
        <w:t xml:space="preserve">Id. </w:t>
      </w:r>
      <w:r w:rsidRPr="00E36BBE">
        <w:rPr>
          <w:rFonts w:ascii="Times New Roman" w:eastAsia="Calibri" w:hAnsi="Times New Roman" w:cs="Times New Roman"/>
          <w:sz w:val="24"/>
          <w:szCs w:val="24"/>
        </w:rPr>
        <w:t xml:space="preserve">at 1134-35 (applying </w:t>
      </w:r>
      <w:r w:rsidRPr="00E36BBE">
        <w:rPr>
          <w:rFonts w:ascii="Times New Roman" w:eastAsia="Calibri" w:hAnsi="Times New Roman" w:cs="Times New Roman"/>
          <w:i/>
          <w:iCs/>
          <w:sz w:val="24"/>
          <w:szCs w:val="24"/>
        </w:rPr>
        <w:t xml:space="preserve">Turner </w:t>
      </w:r>
      <w:r w:rsidRPr="00E36BBE">
        <w:rPr>
          <w:rFonts w:ascii="Times New Roman" w:eastAsia="Calibri" w:hAnsi="Times New Roman" w:cs="Times New Roman"/>
          <w:sz w:val="24"/>
          <w:szCs w:val="24"/>
        </w:rPr>
        <w:t xml:space="preserve">standard to music CDs confiscated as contraband per prison regulations); </w:t>
      </w:r>
      <w:r w:rsidRPr="00E36BBE">
        <w:rPr>
          <w:rFonts w:ascii="Times New Roman" w:eastAsia="Calibri" w:hAnsi="Times New Roman" w:cs="Times New Roman"/>
          <w:i/>
          <w:iCs/>
          <w:sz w:val="24"/>
          <w:szCs w:val="24"/>
        </w:rPr>
        <w:t>see also Prison Legal News v. Ryan</w:t>
      </w:r>
      <w:r w:rsidRPr="00E36BBE">
        <w:rPr>
          <w:rFonts w:ascii="Times New Roman" w:eastAsia="Calibri" w:hAnsi="Times New Roman" w:cs="Times New Roman"/>
          <w:sz w:val="24"/>
          <w:szCs w:val="24"/>
        </w:rPr>
        <w:t xml:space="preserve">, 39 F.4th 1121, 1131-35 (9th Cir. 2022) (applying </w:t>
      </w:r>
      <w:r w:rsidRPr="00E36BBE">
        <w:rPr>
          <w:rFonts w:ascii="Times New Roman" w:eastAsia="Calibri" w:hAnsi="Times New Roman" w:cs="Times New Roman"/>
          <w:i/>
          <w:iCs/>
          <w:sz w:val="24"/>
          <w:szCs w:val="24"/>
        </w:rPr>
        <w:t xml:space="preserve">Turner </w:t>
      </w:r>
      <w:r w:rsidRPr="00E36BBE">
        <w:rPr>
          <w:rFonts w:ascii="Times New Roman" w:eastAsia="Calibri" w:hAnsi="Times New Roman" w:cs="Times New Roman"/>
          <w:sz w:val="24"/>
          <w:szCs w:val="24"/>
        </w:rPr>
        <w:t>standard to prison rule prohibiting inmates from receiving mail containing sexually explicit material).</w:t>
      </w:r>
    </w:p>
    <w:p w14:paraId="54906C92" w14:textId="77777777" w:rsidR="00805420" w:rsidRPr="00E36BBE" w:rsidRDefault="00805420" w:rsidP="00FD6618">
      <w:pPr>
        <w:widowControl w:val="0"/>
        <w:spacing w:after="0" w:line="240" w:lineRule="auto"/>
        <w:rPr>
          <w:rFonts w:ascii="Times New Roman" w:hAnsi="Times New Roman" w:cs="Times New Roman"/>
          <w:sz w:val="24"/>
          <w:szCs w:val="24"/>
        </w:rPr>
      </w:pPr>
    </w:p>
    <w:p w14:paraId="43A1FA40" w14:textId="77777777" w:rsidR="00805420" w:rsidRPr="00E36BBE" w:rsidRDefault="00805420" w:rsidP="00FD6618">
      <w:pPr>
        <w:widowControl w:val="0"/>
        <w:spacing w:after="0" w:line="240" w:lineRule="auto"/>
        <w:ind w:firstLine="720"/>
        <w:rPr>
          <w:rFonts w:ascii="Times New Roman" w:hAnsi="Times New Roman" w:cs="Times New Roman"/>
          <w:sz w:val="24"/>
          <w:szCs w:val="24"/>
        </w:rPr>
      </w:pPr>
      <w:r w:rsidRPr="00E36BBE">
        <w:rPr>
          <w:rFonts w:ascii="Times New Roman" w:hAnsi="Times New Roman" w:cs="Times New Roman"/>
          <w:sz w:val="24"/>
          <w:szCs w:val="24"/>
        </w:rPr>
        <w:t xml:space="preserve">Within the context of First Amendment retaliatory arrest claims, plaintiffs “must generally ‘plead and prove the absence of probable cause,’ because the presence of probable cause generally ‘speaks to the objective reasonableness of an arrest’ and suggests that the ‘officer’s animus’ is not what caused the arrest.” </w:t>
      </w:r>
      <w:r w:rsidRPr="00E36BBE">
        <w:rPr>
          <w:rFonts w:ascii="Times New Roman" w:hAnsi="Times New Roman" w:cs="Times New Roman"/>
          <w:i/>
          <w:iCs/>
          <w:sz w:val="24"/>
          <w:szCs w:val="24"/>
        </w:rPr>
        <w:t>Ballentine v. Tucker</w:t>
      </w:r>
      <w:r w:rsidRPr="00E36BBE">
        <w:rPr>
          <w:rFonts w:ascii="Times New Roman" w:hAnsi="Times New Roman" w:cs="Times New Roman"/>
          <w:sz w:val="24"/>
          <w:szCs w:val="24"/>
        </w:rPr>
        <w:t xml:space="preserve">, 28 F.4th 54, 62 (9th Cir. 2022) (quoting </w:t>
      </w:r>
      <w:r w:rsidRPr="00E36BBE">
        <w:rPr>
          <w:rFonts w:ascii="Times New Roman" w:hAnsi="Times New Roman" w:cs="Times New Roman"/>
          <w:i/>
          <w:iCs/>
          <w:sz w:val="24"/>
          <w:szCs w:val="24"/>
        </w:rPr>
        <w:t>Nieves v. Bartlett</w:t>
      </w:r>
      <w:r w:rsidRPr="00E36BBE">
        <w:rPr>
          <w:rFonts w:ascii="Times New Roman" w:hAnsi="Times New Roman" w:cs="Times New Roman"/>
          <w:sz w:val="24"/>
          <w:szCs w:val="24"/>
        </w:rPr>
        <w:t xml:space="preserve">, 587 U.S. 391, 400 (2019)). However, the Supreme Court has “carved out a ‘narrow’ exception for cases where ‘officers have probable cause to make arrests, but typically exercise their discretion not to do so,’” </w:t>
      </w:r>
      <w:r w:rsidRPr="00E36BBE">
        <w:rPr>
          <w:rFonts w:ascii="Times New Roman" w:hAnsi="Times New Roman" w:cs="Times New Roman"/>
          <w:i/>
          <w:iCs/>
          <w:sz w:val="24"/>
          <w:szCs w:val="24"/>
        </w:rPr>
        <w:t>Ballentine</w:t>
      </w:r>
      <w:r w:rsidRPr="00E36BBE">
        <w:rPr>
          <w:rFonts w:ascii="Times New Roman" w:hAnsi="Times New Roman" w:cs="Times New Roman"/>
          <w:sz w:val="24"/>
          <w:szCs w:val="24"/>
        </w:rPr>
        <w:t xml:space="preserve">, 28 F.4th at 62 (quoting </w:t>
      </w:r>
      <w:r w:rsidRPr="00E36BBE">
        <w:rPr>
          <w:rFonts w:ascii="Times New Roman" w:hAnsi="Times New Roman" w:cs="Times New Roman"/>
          <w:i/>
          <w:iCs/>
          <w:sz w:val="24"/>
          <w:szCs w:val="24"/>
        </w:rPr>
        <w:t>Nieves</w:t>
      </w:r>
      <w:r w:rsidRPr="00E36BBE">
        <w:rPr>
          <w:rFonts w:ascii="Times New Roman" w:hAnsi="Times New Roman" w:cs="Times New Roman"/>
          <w:sz w:val="24"/>
          <w:szCs w:val="24"/>
        </w:rPr>
        <w:t xml:space="preserve">, 587 U.S. at 406). In such cases, which involve offenses like jaywalking and defacing public property with chalk, “the </w:t>
      </w:r>
      <w:r w:rsidRPr="00E36BBE">
        <w:rPr>
          <w:rFonts w:ascii="Times New Roman" w:hAnsi="Times New Roman" w:cs="Times New Roman"/>
          <w:i/>
          <w:iCs/>
          <w:sz w:val="24"/>
          <w:szCs w:val="24"/>
        </w:rPr>
        <w:t xml:space="preserve">Nieves </w:t>
      </w:r>
      <w:r w:rsidRPr="00E36BBE">
        <w:rPr>
          <w:rFonts w:ascii="Times New Roman" w:hAnsi="Times New Roman" w:cs="Times New Roman"/>
          <w:sz w:val="24"/>
          <w:szCs w:val="24"/>
        </w:rPr>
        <w:t xml:space="preserve">exception only applies ‘when a plaintiff presents objective evidence that he was arrested when otherwise similarly situated individuals not engaged in the same sort of protected speech had not been.’” </w:t>
      </w:r>
      <w:r w:rsidRPr="00E36BBE">
        <w:rPr>
          <w:rFonts w:ascii="Times New Roman" w:hAnsi="Times New Roman" w:cs="Times New Roman"/>
          <w:i/>
          <w:iCs/>
          <w:sz w:val="24"/>
          <w:szCs w:val="24"/>
        </w:rPr>
        <w:t xml:space="preserve">Id. </w:t>
      </w:r>
      <w:r w:rsidRPr="00E36BBE">
        <w:rPr>
          <w:rFonts w:ascii="Times New Roman" w:hAnsi="Times New Roman" w:cs="Times New Roman"/>
          <w:sz w:val="24"/>
          <w:szCs w:val="24"/>
        </w:rPr>
        <w:t xml:space="preserve">at 407; </w:t>
      </w:r>
      <w:r w:rsidRPr="00E36BBE">
        <w:rPr>
          <w:rFonts w:ascii="Times New Roman" w:hAnsi="Times New Roman" w:cs="Times New Roman"/>
          <w:i/>
          <w:iCs/>
          <w:sz w:val="24"/>
          <w:szCs w:val="24"/>
        </w:rPr>
        <w:t>see also Gonzalez v. Trevino</w:t>
      </w:r>
      <w:r w:rsidRPr="00E36BBE">
        <w:rPr>
          <w:rFonts w:ascii="Times New Roman" w:hAnsi="Times New Roman" w:cs="Times New Roman"/>
          <w:sz w:val="24"/>
          <w:szCs w:val="24"/>
        </w:rPr>
        <w:t xml:space="preserve">, 602 U.S. 653, 658 (2024) (reversing the Fifth Circuit’s “overly cramped view of </w:t>
      </w:r>
      <w:r w:rsidRPr="00E36BBE">
        <w:rPr>
          <w:rFonts w:ascii="Times New Roman" w:hAnsi="Times New Roman" w:cs="Times New Roman"/>
          <w:i/>
          <w:iCs/>
          <w:sz w:val="24"/>
          <w:szCs w:val="24"/>
        </w:rPr>
        <w:t>Nieves</w:t>
      </w:r>
      <w:r w:rsidRPr="00E36BBE">
        <w:rPr>
          <w:rFonts w:ascii="Times New Roman" w:hAnsi="Times New Roman" w:cs="Times New Roman"/>
          <w:sz w:val="24"/>
          <w:szCs w:val="24"/>
        </w:rPr>
        <w:t xml:space="preserve">” and explaining that to fall within the </w:t>
      </w:r>
      <w:r w:rsidRPr="00E36BBE">
        <w:rPr>
          <w:rFonts w:ascii="Times New Roman" w:hAnsi="Times New Roman" w:cs="Times New Roman"/>
          <w:i/>
          <w:iCs/>
          <w:sz w:val="24"/>
          <w:szCs w:val="24"/>
        </w:rPr>
        <w:t xml:space="preserve">Nieves </w:t>
      </w:r>
      <w:r w:rsidRPr="00E36BBE">
        <w:rPr>
          <w:rFonts w:ascii="Times New Roman" w:hAnsi="Times New Roman" w:cs="Times New Roman"/>
          <w:sz w:val="24"/>
          <w:szCs w:val="24"/>
        </w:rPr>
        <w:t>exception a plaintiff must produce objective evidence showing that in circumstances where officers have probable cause to make arrests, they “typically exercise their discretion not to do so”).</w:t>
      </w:r>
    </w:p>
    <w:p w14:paraId="380A4197"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p>
    <w:p w14:paraId="7C831D9C" w14:textId="5884EAC0" w:rsidR="00805420" w:rsidRPr="00E36BBE" w:rsidRDefault="00805420" w:rsidP="00805420">
      <w:pPr>
        <w:widowControl w:val="0"/>
        <w:spacing w:after="0" w:line="240" w:lineRule="auto"/>
        <w:ind w:firstLine="720"/>
        <w:rPr>
          <w:rFonts w:ascii="Times New Roman" w:hAnsi="Times New Roman" w:cs="Times New Roman"/>
          <w:sz w:val="24"/>
          <w:szCs w:val="24"/>
        </w:rPr>
      </w:pPr>
      <w:r w:rsidRPr="00E36BBE">
        <w:rPr>
          <w:rFonts w:ascii="Times New Roman" w:hAnsi="Times New Roman" w:cs="Times New Roman"/>
          <w:sz w:val="24"/>
          <w:szCs w:val="24"/>
        </w:rPr>
        <w:t xml:space="preserve">If a plaintiff bringing a retaliatory arrest claim establishes that protected conduct was a substantial or motivating factor behind the plaintiff’s arrest, then “the defendant can prevail only by a showing that the [arrest] would have been initiated without respect to retaliation.” </w:t>
      </w:r>
      <w:r w:rsidRPr="00E36BBE">
        <w:rPr>
          <w:rFonts w:ascii="Times New Roman" w:hAnsi="Times New Roman" w:cs="Times New Roman"/>
          <w:i/>
          <w:iCs/>
          <w:sz w:val="24"/>
          <w:szCs w:val="24"/>
        </w:rPr>
        <w:t>Ballentine</w:t>
      </w:r>
      <w:r w:rsidRPr="00E36BBE">
        <w:rPr>
          <w:rFonts w:ascii="Times New Roman" w:hAnsi="Times New Roman" w:cs="Times New Roman"/>
          <w:sz w:val="24"/>
          <w:szCs w:val="24"/>
        </w:rPr>
        <w:t xml:space="preserve">, 28 F.4th at 63 (quoting </w:t>
      </w:r>
      <w:r w:rsidRPr="00E36BBE">
        <w:rPr>
          <w:rFonts w:ascii="Times New Roman" w:hAnsi="Times New Roman" w:cs="Times New Roman"/>
          <w:i/>
          <w:iCs/>
          <w:sz w:val="24"/>
          <w:szCs w:val="24"/>
        </w:rPr>
        <w:t>Nieves</w:t>
      </w:r>
      <w:r w:rsidRPr="00E36BBE">
        <w:rPr>
          <w:rFonts w:ascii="Times New Roman" w:hAnsi="Times New Roman" w:cs="Times New Roman"/>
          <w:sz w:val="24"/>
          <w:szCs w:val="24"/>
        </w:rPr>
        <w:t xml:space="preserve">, 587 U.S. at 404, 406-07). If a plaintiff has established </w:t>
      </w:r>
      <w:r w:rsidRPr="00E36BBE">
        <w:rPr>
          <w:rFonts w:ascii="Times New Roman" w:hAnsi="Times New Roman" w:cs="Times New Roman"/>
          <w:sz w:val="24"/>
          <w:szCs w:val="24"/>
        </w:rPr>
        <w:lastRenderedPageBreak/>
        <w:t xml:space="preserve">that the police lacked probable cause for an arrest, the plaintiff must show that the alleged retaliation was a substantial or motivating factor behind the arrest, and, if that showing is made, the defendant can prevail only by showing that the arrest would have been initiated without respect to retaliation. </w:t>
      </w:r>
      <w:r w:rsidRPr="00E36BBE">
        <w:rPr>
          <w:rFonts w:ascii="Times New Roman" w:hAnsi="Times New Roman" w:cs="Times New Roman"/>
          <w:i/>
          <w:iCs/>
          <w:sz w:val="24"/>
          <w:szCs w:val="24"/>
        </w:rPr>
        <w:t>Hill v. City of Fountain Valley</w:t>
      </w:r>
      <w:r w:rsidRPr="00E36BBE">
        <w:rPr>
          <w:rFonts w:ascii="Times New Roman" w:hAnsi="Times New Roman" w:cs="Times New Roman"/>
          <w:sz w:val="24"/>
          <w:szCs w:val="24"/>
        </w:rPr>
        <w:t xml:space="preserve">, 70 F.4th 507, 518-19 (9th Cir. 2023) (relying on test set out in </w:t>
      </w:r>
      <w:r w:rsidRPr="00E36BBE">
        <w:rPr>
          <w:rFonts w:ascii="Times New Roman" w:hAnsi="Times New Roman" w:cs="Times New Roman"/>
          <w:i/>
          <w:iCs/>
          <w:sz w:val="24"/>
          <w:szCs w:val="24"/>
        </w:rPr>
        <w:t>Mt. Healthy City Sch. Dist. Bd. of Educ. v. Doyle</w:t>
      </w:r>
      <w:r w:rsidRPr="00E36BBE">
        <w:rPr>
          <w:rFonts w:ascii="Times New Roman" w:hAnsi="Times New Roman" w:cs="Times New Roman"/>
          <w:sz w:val="24"/>
          <w:szCs w:val="24"/>
        </w:rPr>
        <w:t>, 429 U.S. 274 (1977)).</w:t>
      </w:r>
    </w:p>
    <w:p w14:paraId="4D13EF1E"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p>
    <w:p w14:paraId="10C93F12"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r w:rsidRPr="00E36BBE">
        <w:rPr>
          <w:rFonts w:ascii="Times New Roman" w:hAnsi="Times New Roman" w:cs="Times New Roman"/>
          <w:sz w:val="24"/>
          <w:szCs w:val="24"/>
        </w:rPr>
        <w:t xml:space="preserve">This instruction properly applies to First Amendment claims concerning speech by elected officials. </w:t>
      </w:r>
      <w:r w:rsidRPr="00E36BBE">
        <w:rPr>
          <w:rFonts w:ascii="Times New Roman" w:hAnsi="Times New Roman" w:cs="Times New Roman"/>
          <w:i/>
          <w:iCs/>
          <w:sz w:val="24"/>
          <w:szCs w:val="24"/>
        </w:rPr>
        <w:t>See Boquist v. Courtney</w:t>
      </w:r>
      <w:r w:rsidRPr="00E36BBE">
        <w:rPr>
          <w:rFonts w:ascii="Times New Roman" w:hAnsi="Times New Roman" w:cs="Times New Roman"/>
          <w:sz w:val="24"/>
          <w:szCs w:val="24"/>
        </w:rPr>
        <w:t xml:space="preserve">, 32 F.4th 764, 774 (9th Cir. 2022) (citing </w:t>
      </w:r>
      <w:r w:rsidRPr="00E36BBE">
        <w:rPr>
          <w:rFonts w:ascii="Times New Roman" w:hAnsi="Times New Roman" w:cs="Times New Roman"/>
          <w:i/>
          <w:iCs/>
          <w:sz w:val="24"/>
          <w:szCs w:val="24"/>
        </w:rPr>
        <w:t>Blair v. Bethel Sch. Dist.</w:t>
      </w:r>
      <w:r w:rsidRPr="00E36BBE">
        <w:rPr>
          <w:rFonts w:ascii="Times New Roman" w:hAnsi="Times New Roman" w:cs="Times New Roman"/>
          <w:sz w:val="24"/>
          <w:szCs w:val="24"/>
        </w:rPr>
        <w:t xml:space="preserve">, 608 F.3d 540, 542-43 (9th Cir. 2010)). The first element in Instruction 9.11 “is readily met when elected officials express their views and opinions.” </w:t>
      </w:r>
      <w:r w:rsidRPr="00E36BBE">
        <w:rPr>
          <w:rFonts w:ascii="Times New Roman" w:hAnsi="Times New Roman" w:cs="Times New Roman"/>
          <w:i/>
          <w:iCs/>
          <w:sz w:val="24"/>
          <w:szCs w:val="24"/>
        </w:rPr>
        <w:t xml:space="preserve">Id. </w:t>
      </w:r>
      <w:r w:rsidRPr="00E36BBE">
        <w:rPr>
          <w:rFonts w:ascii="Times New Roman" w:hAnsi="Times New Roman" w:cs="Times New Roman"/>
          <w:sz w:val="24"/>
          <w:szCs w:val="24"/>
        </w:rPr>
        <w:t xml:space="preserve">at 775. However, the second element is more difficult for elected officials to establish. </w:t>
      </w:r>
      <w:r w:rsidRPr="00E36BBE">
        <w:rPr>
          <w:rFonts w:ascii="Times New Roman" w:hAnsi="Times New Roman" w:cs="Times New Roman"/>
          <w:i/>
          <w:iCs/>
          <w:sz w:val="24"/>
          <w:szCs w:val="24"/>
        </w:rPr>
        <w:t xml:space="preserve">Id. </w:t>
      </w:r>
      <w:r w:rsidRPr="00E36BBE">
        <w:rPr>
          <w:rFonts w:ascii="Times New Roman" w:hAnsi="Times New Roman" w:cs="Times New Roman"/>
          <w:sz w:val="24"/>
          <w:szCs w:val="24"/>
        </w:rPr>
        <w:t xml:space="preserve">at 776. This is because “the First Amendment . . . ‘doesn’t shield public figures from the give-and-take of the political process.’” </w:t>
      </w:r>
      <w:r w:rsidRPr="00E36BBE">
        <w:rPr>
          <w:rFonts w:ascii="Times New Roman" w:hAnsi="Times New Roman" w:cs="Times New Roman"/>
          <w:i/>
          <w:iCs/>
          <w:sz w:val="24"/>
          <w:szCs w:val="24"/>
        </w:rPr>
        <w:t xml:space="preserve">Id. </w:t>
      </w:r>
      <w:r w:rsidRPr="00E36BBE">
        <w:rPr>
          <w:rFonts w:ascii="Times New Roman" w:hAnsi="Times New Roman" w:cs="Times New Roman"/>
          <w:sz w:val="24"/>
          <w:szCs w:val="24"/>
        </w:rPr>
        <w:t xml:space="preserve">(citing </w:t>
      </w:r>
      <w:r w:rsidRPr="00E36BBE">
        <w:rPr>
          <w:rFonts w:ascii="Times New Roman" w:hAnsi="Times New Roman" w:cs="Times New Roman"/>
          <w:i/>
          <w:iCs/>
          <w:sz w:val="24"/>
          <w:szCs w:val="24"/>
        </w:rPr>
        <w:t>Blair</w:t>
      </w:r>
      <w:r w:rsidRPr="00E36BBE">
        <w:rPr>
          <w:rFonts w:ascii="Times New Roman" w:hAnsi="Times New Roman" w:cs="Times New Roman"/>
          <w:sz w:val="24"/>
          <w:szCs w:val="24"/>
        </w:rPr>
        <w:t>, 608 F.3d at 543-44) (“‘more is fair in electoral politics than in other contexts’”). To establish the second element, an elected official would have to show that the adverse action in question either (</w:t>
      </w:r>
      <w:proofErr w:type="spellStart"/>
      <w:r w:rsidRPr="00E36BBE">
        <w:rPr>
          <w:rFonts w:ascii="Times New Roman" w:hAnsi="Times New Roman" w:cs="Times New Roman"/>
          <w:sz w:val="24"/>
          <w:szCs w:val="24"/>
        </w:rPr>
        <w:t>i</w:t>
      </w:r>
      <w:proofErr w:type="spellEnd"/>
      <w:r w:rsidRPr="00E36BBE">
        <w:rPr>
          <w:rFonts w:ascii="Times New Roman" w:hAnsi="Times New Roman" w:cs="Times New Roman"/>
          <w:sz w:val="24"/>
          <w:szCs w:val="24"/>
        </w:rPr>
        <w:t xml:space="preserve">) prevented her from doing her job, (ii) deprived her of authority she enjoyed by virtue of her popular election, or (iii) otherwise prevented her from enjoying the full range of rights and prerogatives that came with being elected. </w:t>
      </w:r>
      <w:r w:rsidRPr="00E36BBE">
        <w:rPr>
          <w:rFonts w:ascii="Times New Roman" w:hAnsi="Times New Roman" w:cs="Times New Roman"/>
          <w:i/>
          <w:iCs/>
          <w:sz w:val="24"/>
          <w:szCs w:val="24"/>
        </w:rPr>
        <w:t xml:space="preserve">See Id. </w:t>
      </w:r>
      <w:r w:rsidRPr="00E36BBE">
        <w:rPr>
          <w:rFonts w:ascii="Times New Roman" w:hAnsi="Times New Roman" w:cs="Times New Roman"/>
          <w:sz w:val="24"/>
          <w:szCs w:val="24"/>
        </w:rPr>
        <w:t xml:space="preserve">at 777 (citing </w:t>
      </w:r>
      <w:r w:rsidRPr="00E36BBE">
        <w:rPr>
          <w:rFonts w:ascii="Times New Roman" w:hAnsi="Times New Roman" w:cs="Times New Roman"/>
          <w:i/>
          <w:iCs/>
          <w:sz w:val="24"/>
          <w:szCs w:val="24"/>
        </w:rPr>
        <w:t xml:space="preserve">Houston </w:t>
      </w:r>
      <w:proofErr w:type="spellStart"/>
      <w:r w:rsidRPr="00E36BBE">
        <w:rPr>
          <w:rFonts w:ascii="Times New Roman" w:hAnsi="Times New Roman" w:cs="Times New Roman"/>
          <w:i/>
          <w:iCs/>
          <w:sz w:val="24"/>
          <w:szCs w:val="24"/>
        </w:rPr>
        <w:t>Cmty</w:t>
      </w:r>
      <w:proofErr w:type="spellEnd"/>
      <w:r w:rsidRPr="00E36BBE">
        <w:rPr>
          <w:rFonts w:ascii="Times New Roman" w:hAnsi="Times New Roman" w:cs="Times New Roman"/>
          <w:i/>
          <w:iCs/>
          <w:sz w:val="24"/>
          <w:szCs w:val="24"/>
        </w:rPr>
        <w:t>. Coll. Sys. v. Wilson</w:t>
      </w:r>
      <w:r w:rsidRPr="00E36BBE">
        <w:rPr>
          <w:rFonts w:ascii="Times New Roman" w:hAnsi="Times New Roman" w:cs="Times New Roman"/>
          <w:sz w:val="24"/>
          <w:szCs w:val="24"/>
        </w:rPr>
        <w:t xml:space="preserve">, 598 U.S. 468, 479 (2022); </w:t>
      </w:r>
      <w:r w:rsidRPr="00E36BBE">
        <w:rPr>
          <w:rFonts w:ascii="Times New Roman" w:hAnsi="Times New Roman" w:cs="Times New Roman"/>
          <w:i/>
          <w:iCs/>
          <w:sz w:val="24"/>
          <w:szCs w:val="24"/>
        </w:rPr>
        <w:t>Blair</w:t>
      </w:r>
      <w:r w:rsidRPr="00E36BBE">
        <w:rPr>
          <w:rFonts w:ascii="Times New Roman" w:hAnsi="Times New Roman" w:cs="Times New Roman"/>
          <w:sz w:val="24"/>
          <w:szCs w:val="24"/>
        </w:rPr>
        <w:t>, 608 F.3d at 544 &amp; n.4).</w:t>
      </w:r>
    </w:p>
    <w:p w14:paraId="138561F8"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p>
    <w:p w14:paraId="7F0C250E"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r w:rsidRPr="00E36BBE">
        <w:rPr>
          <w:rFonts w:ascii="Times New Roman" w:hAnsi="Times New Roman" w:cs="Times New Roman"/>
          <w:sz w:val="24"/>
          <w:szCs w:val="24"/>
        </w:rPr>
        <w:t xml:space="preserve">For a discussion of the “commonality of political purpose” inquiry that applies to First Amendment claims made by, </w:t>
      </w:r>
      <w:r w:rsidRPr="00E36BBE">
        <w:rPr>
          <w:rFonts w:ascii="Times New Roman" w:hAnsi="Times New Roman" w:cs="Times New Roman"/>
          <w:i/>
          <w:iCs/>
          <w:sz w:val="24"/>
          <w:szCs w:val="24"/>
        </w:rPr>
        <w:t xml:space="preserve">inter alia, </w:t>
      </w:r>
      <w:r w:rsidRPr="00E36BBE">
        <w:rPr>
          <w:rFonts w:ascii="Times New Roman" w:hAnsi="Times New Roman" w:cs="Times New Roman"/>
          <w:sz w:val="24"/>
          <w:szCs w:val="24"/>
        </w:rPr>
        <w:t xml:space="preserve">an appointed volunteer in public service, </w:t>
      </w:r>
      <w:r w:rsidRPr="00E36BBE">
        <w:rPr>
          <w:rFonts w:ascii="Times New Roman" w:hAnsi="Times New Roman" w:cs="Times New Roman"/>
          <w:i/>
          <w:iCs/>
          <w:sz w:val="24"/>
          <w:szCs w:val="24"/>
        </w:rPr>
        <w:t xml:space="preserve">see </w:t>
      </w:r>
      <w:proofErr w:type="spellStart"/>
      <w:r w:rsidRPr="00E36BBE">
        <w:rPr>
          <w:rFonts w:ascii="Times New Roman" w:hAnsi="Times New Roman" w:cs="Times New Roman"/>
          <w:i/>
          <w:iCs/>
          <w:sz w:val="24"/>
          <w:szCs w:val="24"/>
        </w:rPr>
        <w:t>Lathus</w:t>
      </w:r>
      <w:proofErr w:type="spellEnd"/>
      <w:r w:rsidRPr="00E36BBE">
        <w:rPr>
          <w:rFonts w:ascii="Times New Roman" w:hAnsi="Times New Roman" w:cs="Times New Roman"/>
          <w:i/>
          <w:iCs/>
          <w:sz w:val="24"/>
          <w:szCs w:val="24"/>
        </w:rPr>
        <w:t xml:space="preserve"> v. City of Huntington Beach</w:t>
      </w:r>
      <w:r w:rsidRPr="00E36BBE">
        <w:rPr>
          <w:rFonts w:ascii="Times New Roman" w:hAnsi="Times New Roman" w:cs="Times New Roman"/>
          <w:sz w:val="24"/>
          <w:szCs w:val="24"/>
        </w:rPr>
        <w:t xml:space="preserve">, 56 F.4th 1238, 1241 (9th Cir. 2023) (quoting </w:t>
      </w:r>
      <w:r w:rsidRPr="00E36BBE">
        <w:rPr>
          <w:rFonts w:ascii="Times New Roman" w:hAnsi="Times New Roman" w:cs="Times New Roman"/>
          <w:i/>
          <w:iCs/>
          <w:sz w:val="24"/>
          <w:szCs w:val="24"/>
        </w:rPr>
        <w:t>Walker v. City of Lakewood</w:t>
      </w:r>
      <w:r w:rsidRPr="00E36BBE">
        <w:rPr>
          <w:rFonts w:ascii="Times New Roman" w:hAnsi="Times New Roman" w:cs="Times New Roman"/>
          <w:sz w:val="24"/>
          <w:szCs w:val="24"/>
        </w:rPr>
        <w:t xml:space="preserve">, 272 F.3d 1114, 1132 (9th Cir. 2001). </w:t>
      </w:r>
    </w:p>
    <w:p w14:paraId="0FF6929C" w14:textId="77777777" w:rsidR="00805420" w:rsidRPr="00E36BBE" w:rsidRDefault="00805420" w:rsidP="00805420">
      <w:pPr>
        <w:widowControl w:val="0"/>
        <w:spacing w:after="0" w:line="240" w:lineRule="auto"/>
        <w:ind w:firstLine="720"/>
        <w:rPr>
          <w:rFonts w:ascii="Times New Roman" w:hAnsi="Times New Roman" w:cs="Times New Roman"/>
          <w:sz w:val="24"/>
          <w:szCs w:val="24"/>
        </w:rPr>
      </w:pPr>
    </w:p>
    <w:p w14:paraId="01631C5A" w14:textId="55B907D0" w:rsidR="00805420" w:rsidRPr="00E36BBE" w:rsidRDefault="00805420" w:rsidP="00805420">
      <w:pPr>
        <w:widowControl w:val="0"/>
        <w:spacing w:after="0" w:line="240" w:lineRule="auto"/>
        <w:ind w:firstLine="720"/>
        <w:rPr>
          <w:rFonts w:ascii="Times New Roman" w:hAnsi="Times New Roman" w:cs="Times New Roman"/>
          <w:i/>
          <w:iCs/>
          <w:sz w:val="24"/>
          <w:szCs w:val="24"/>
        </w:rPr>
      </w:pPr>
      <w:r w:rsidRPr="00E36BBE">
        <w:rPr>
          <w:rFonts w:ascii="Times New Roman" w:hAnsi="Times New Roman" w:cs="Times New Roman"/>
          <w:sz w:val="24"/>
          <w:szCs w:val="24"/>
        </w:rPr>
        <w:t xml:space="preserve">If the plaintiff establishes a prima facie case of retaliation, “the burden shifts to the defendant official to demonstrate that even without the impetus to retaliate he would have taken the action complained of.” </w:t>
      </w:r>
      <w:r w:rsidRPr="00E36BBE">
        <w:rPr>
          <w:rFonts w:ascii="Times New Roman" w:hAnsi="Times New Roman" w:cs="Times New Roman"/>
          <w:i/>
          <w:iCs/>
          <w:sz w:val="24"/>
          <w:szCs w:val="24"/>
        </w:rPr>
        <w:t>Hartman v. Moore</w:t>
      </w:r>
      <w:r w:rsidRPr="00E36BBE">
        <w:rPr>
          <w:rFonts w:ascii="Times New Roman" w:hAnsi="Times New Roman" w:cs="Times New Roman"/>
          <w:sz w:val="24"/>
          <w:szCs w:val="24"/>
        </w:rPr>
        <w:t xml:space="preserve">, 547 U.S. 250, 260 (2006). In conducting this burden-shifting analysis, courts apply the “but-for” causation standard, under which causation is “established whenever a particular outcome would not have happened but for the purported cause.” </w:t>
      </w:r>
      <w:r w:rsidRPr="00E36BBE">
        <w:rPr>
          <w:rFonts w:ascii="Times New Roman" w:hAnsi="Times New Roman" w:cs="Times New Roman"/>
          <w:i/>
          <w:iCs/>
          <w:sz w:val="24"/>
          <w:szCs w:val="24"/>
        </w:rPr>
        <w:t>Boquist</w:t>
      </w:r>
      <w:r w:rsidRPr="00E36BBE">
        <w:rPr>
          <w:rFonts w:ascii="Times New Roman" w:hAnsi="Times New Roman" w:cs="Times New Roman"/>
          <w:sz w:val="24"/>
          <w:szCs w:val="24"/>
        </w:rPr>
        <w:t xml:space="preserve">, 32 F.4th at 778 (quoting </w:t>
      </w:r>
      <w:r w:rsidRPr="00E36BBE">
        <w:rPr>
          <w:rFonts w:ascii="Times New Roman" w:hAnsi="Times New Roman" w:cs="Times New Roman"/>
          <w:i/>
          <w:iCs/>
          <w:sz w:val="24"/>
          <w:szCs w:val="24"/>
        </w:rPr>
        <w:t>Bostock v. Clayton County</w:t>
      </w:r>
      <w:r w:rsidRPr="00E36BBE">
        <w:rPr>
          <w:rFonts w:ascii="Times New Roman" w:hAnsi="Times New Roman" w:cs="Times New Roman"/>
          <w:sz w:val="24"/>
          <w:szCs w:val="24"/>
        </w:rPr>
        <w:t xml:space="preserve">, 590 U.S. 644, 656 (2020)). “If there is a finding that retaliation was not the but-for cause of the [adverse action], the claim fails for lack of causal connection between unconstitutional motive and resulting harm, despite proof of some retaliatory animus in the official’s mind.” </w:t>
      </w:r>
      <w:r w:rsidRPr="00E36BBE">
        <w:rPr>
          <w:rFonts w:ascii="Times New Roman" w:hAnsi="Times New Roman" w:cs="Times New Roman"/>
          <w:i/>
          <w:iCs/>
          <w:sz w:val="24"/>
          <w:szCs w:val="24"/>
        </w:rPr>
        <w:t>Hartman</w:t>
      </w:r>
      <w:r w:rsidRPr="00E36BBE">
        <w:rPr>
          <w:rFonts w:ascii="Times New Roman" w:hAnsi="Times New Roman" w:cs="Times New Roman"/>
          <w:sz w:val="24"/>
          <w:szCs w:val="24"/>
        </w:rPr>
        <w:t xml:space="preserve">, 547 U.S. at 260. “Conversely, if the government officials would have taken the same adverse action even in the absence of their animus or retaliatory motive arising from the plaintiff’s speech, then the officials’ animus was not a </w:t>
      </w:r>
      <w:proofErr w:type="spellStart"/>
      <w:r w:rsidRPr="00E36BBE">
        <w:rPr>
          <w:rFonts w:ascii="Times New Roman" w:hAnsi="Times New Roman" w:cs="Times New Roman"/>
          <w:sz w:val="24"/>
          <w:szCs w:val="24"/>
        </w:rPr>
        <w:t>but</w:t>
      </w:r>
      <w:proofErr w:type="spellEnd"/>
      <w:r w:rsidRPr="00E36BBE">
        <w:rPr>
          <w:rFonts w:ascii="Times New Roman" w:hAnsi="Times New Roman" w:cs="Times New Roman"/>
          <w:sz w:val="24"/>
          <w:szCs w:val="24"/>
        </w:rPr>
        <w:t xml:space="preserve">-for cause of the adverse action, and there was no violation of the plaintiff’s constitutional rights.” </w:t>
      </w:r>
      <w:r w:rsidRPr="00E36BBE">
        <w:rPr>
          <w:rFonts w:ascii="Times New Roman" w:hAnsi="Times New Roman" w:cs="Times New Roman"/>
          <w:i/>
          <w:iCs/>
          <w:sz w:val="24"/>
          <w:szCs w:val="24"/>
        </w:rPr>
        <w:t>Boquist</w:t>
      </w:r>
      <w:r w:rsidRPr="00E36BBE">
        <w:rPr>
          <w:rFonts w:ascii="Times New Roman" w:hAnsi="Times New Roman" w:cs="Times New Roman"/>
          <w:sz w:val="24"/>
          <w:szCs w:val="24"/>
        </w:rPr>
        <w:t xml:space="preserve">, 32 F.4th at 778. If state officials can show that they had “an objectively legitimate need to implement security measures in response to information conveyed by the plaintiff’s </w:t>
      </w:r>
      <w:proofErr w:type="gramStart"/>
      <w:r w:rsidRPr="00E36BBE">
        <w:rPr>
          <w:rFonts w:ascii="Times New Roman" w:hAnsi="Times New Roman" w:cs="Times New Roman"/>
          <w:sz w:val="24"/>
          <w:szCs w:val="24"/>
        </w:rPr>
        <w:t>speech, and</w:t>
      </w:r>
      <w:proofErr w:type="gramEnd"/>
      <w:r w:rsidRPr="00E36BBE">
        <w:rPr>
          <w:rFonts w:ascii="Times New Roman" w:hAnsi="Times New Roman" w:cs="Times New Roman"/>
          <w:sz w:val="24"/>
          <w:szCs w:val="24"/>
        </w:rPr>
        <w:t xml:space="preserve"> would have implemented the same security measures in the absence of any retaliatory motive . . . any unconstitutional motivation would not be a </w:t>
      </w:r>
      <w:proofErr w:type="spellStart"/>
      <w:r w:rsidRPr="00E36BBE">
        <w:rPr>
          <w:rFonts w:ascii="Times New Roman" w:hAnsi="Times New Roman" w:cs="Times New Roman"/>
          <w:sz w:val="24"/>
          <w:szCs w:val="24"/>
        </w:rPr>
        <w:t>but</w:t>
      </w:r>
      <w:proofErr w:type="spellEnd"/>
      <w:r w:rsidRPr="00E36BBE">
        <w:rPr>
          <w:rFonts w:ascii="Times New Roman" w:hAnsi="Times New Roman" w:cs="Times New Roman"/>
          <w:sz w:val="24"/>
          <w:szCs w:val="24"/>
        </w:rPr>
        <w:t xml:space="preserve">-for cause of the officials’ action.” </w:t>
      </w:r>
      <w:r w:rsidRPr="00E36BBE">
        <w:rPr>
          <w:rFonts w:ascii="Times New Roman" w:hAnsi="Times New Roman" w:cs="Times New Roman"/>
          <w:i/>
          <w:iCs/>
          <w:sz w:val="24"/>
          <w:szCs w:val="24"/>
        </w:rPr>
        <w:t>Id.</w:t>
      </w:r>
    </w:p>
    <w:p w14:paraId="52436C94" w14:textId="77777777" w:rsidR="00805420" w:rsidRPr="00E36BBE" w:rsidRDefault="00805420" w:rsidP="00805420">
      <w:pPr>
        <w:widowControl w:val="0"/>
        <w:spacing w:after="0" w:line="240" w:lineRule="auto"/>
        <w:rPr>
          <w:rFonts w:ascii="Times New Roman" w:hAnsi="Times New Roman" w:cs="Times New Roman"/>
          <w:sz w:val="24"/>
          <w:szCs w:val="24"/>
        </w:rPr>
      </w:pPr>
    </w:p>
    <w:p w14:paraId="7FA95955" w14:textId="7E2E9F90" w:rsidR="00805420" w:rsidRPr="00E36BBE" w:rsidRDefault="00805420" w:rsidP="00805420">
      <w:pPr>
        <w:widowControl w:val="0"/>
        <w:spacing w:after="0" w:line="240" w:lineRule="auto"/>
        <w:jc w:val="right"/>
        <w:rPr>
          <w:rFonts w:ascii="Times New Roman" w:hAnsi="Times New Roman" w:cs="Times New Roman"/>
          <w:i/>
          <w:iCs/>
          <w:sz w:val="24"/>
          <w:szCs w:val="24"/>
        </w:rPr>
      </w:pPr>
      <w:r w:rsidRPr="00E36BBE">
        <w:rPr>
          <w:rFonts w:ascii="Times New Roman" w:hAnsi="Times New Roman" w:cs="Times New Roman"/>
          <w:i/>
          <w:iCs/>
          <w:sz w:val="24"/>
          <w:szCs w:val="24"/>
        </w:rPr>
        <w:t xml:space="preserve">Revised </w:t>
      </w:r>
      <w:r w:rsidRPr="00E36BBE">
        <w:rPr>
          <w:rFonts w:ascii="Times New Roman" w:hAnsi="Times New Roman" w:cs="Times New Roman"/>
          <w:i/>
          <w:sz w:val="24"/>
          <w:szCs w:val="24"/>
        </w:rPr>
        <w:t>June</w:t>
      </w:r>
      <w:r w:rsidRPr="00E36BBE">
        <w:rPr>
          <w:rFonts w:ascii="Times New Roman" w:hAnsi="Times New Roman" w:cs="Times New Roman"/>
          <w:i/>
          <w:iCs/>
          <w:sz w:val="24"/>
          <w:szCs w:val="24"/>
        </w:rPr>
        <w:t xml:space="preserve"> 2025</w:t>
      </w:r>
    </w:p>
    <w:bookmarkEnd w:id="2"/>
    <w:p w14:paraId="6C406DC5" w14:textId="1ED508F1" w:rsidR="00FE7F82" w:rsidRPr="00E36BBE" w:rsidRDefault="00FE7F82" w:rsidP="00805420">
      <w:pPr>
        <w:autoSpaceDE w:val="0"/>
        <w:autoSpaceDN w:val="0"/>
        <w:adjustRightInd w:val="0"/>
        <w:spacing w:after="0" w:line="240" w:lineRule="auto"/>
        <w:rPr>
          <w:rFonts w:ascii="Times New Roman" w:hAnsi="Times New Roman" w:cs="Times New Roman"/>
          <w:sz w:val="24"/>
          <w:szCs w:val="24"/>
        </w:rPr>
      </w:pPr>
    </w:p>
    <w:sectPr w:rsidR="00FE7F82" w:rsidRPr="00E36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C8"/>
    <w:rsid w:val="000562A8"/>
    <w:rsid w:val="000C49B2"/>
    <w:rsid w:val="000D2248"/>
    <w:rsid w:val="0013466C"/>
    <w:rsid w:val="001654CE"/>
    <w:rsid w:val="001E4BC8"/>
    <w:rsid w:val="00203C30"/>
    <w:rsid w:val="00223717"/>
    <w:rsid w:val="0024061B"/>
    <w:rsid w:val="002914FA"/>
    <w:rsid w:val="002C24E7"/>
    <w:rsid w:val="002F226A"/>
    <w:rsid w:val="003C0391"/>
    <w:rsid w:val="003D141F"/>
    <w:rsid w:val="0041378F"/>
    <w:rsid w:val="0042234D"/>
    <w:rsid w:val="00431695"/>
    <w:rsid w:val="004F3FD8"/>
    <w:rsid w:val="004F7175"/>
    <w:rsid w:val="00525C19"/>
    <w:rsid w:val="00587FAE"/>
    <w:rsid w:val="00632C2E"/>
    <w:rsid w:val="00642722"/>
    <w:rsid w:val="006456BA"/>
    <w:rsid w:val="00664974"/>
    <w:rsid w:val="00670E32"/>
    <w:rsid w:val="006E2CA3"/>
    <w:rsid w:val="00753E02"/>
    <w:rsid w:val="007819C4"/>
    <w:rsid w:val="00805420"/>
    <w:rsid w:val="0083791B"/>
    <w:rsid w:val="008568E4"/>
    <w:rsid w:val="00887257"/>
    <w:rsid w:val="008C738D"/>
    <w:rsid w:val="008D7FDB"/>
    <w:rsid w:val="0093062E"/>
    <w:rsid w:val="0096422F"/>
    <w:rsid w:val="009A4824"/>
    <w:rsid w:val="00A01957"/>
    <w:rsid w:val="00A169EB"/>
    <w:rsid w:val="00A2269A"/>
    <w:rsid w:val="00A8708C"/>
    <w:rsid w:val="00A960C2"/>
    <w:rsid w:val="00AF1D8F"/>
    <w:rsid w:val="00B0030C"/>
    <w:rsid w:val="00B50DD5"/>
    <w:rsid w:val="00B72E36"/>
    <w:rsid w:val="00B951E2"/>
    <w:rsid w:val="00BB44CE"/>
    <w:rsid w:val="00BE0F07"/>
    <w:rsid w:val="00C221BD"/>
    <w:rsid w:val="00C30B63"/>
    <w:rsid w:val="00C30F84"/>
    <w:rsid w:val="00C63A8D"/>
    <w:rsid w:val="00C972A5"/>
    <w:rsid w:val="00D0685C"/>
    <w:rsid w:val="00D56588"/>
    <w:rsid w:val="00D9496A"/>
    <w:rsid w:val="00DE3AA1"/>
    <w:rsid w:val="00E073A6"/>
    <w:rsid w:val="00E30898"/>
    <w:rsid w:val="00E36BBE"/>
    <w:rsid w:val="00E8070E"/>
    <w:rsid w:val="00EA3166"/>
    <w:rsid w:val="00ED0D3C"/>
    <w:rsid w:val="00F2425A"/>
    <w:rsid w:val="00F56537"/>
    <w:rsid w:val="00F612EE"/>
    <w:rsid w:val="00FD1DAA"/>
    <w:rsid w:val="00FD6618"/>
    <w:rsid w:val="00FD7A6A"/>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6AF8"/>
  <w15:chartTrackingRefBased/>
  <w15:docId w15:val="{C2A30C73-CE55-4D0B-891F-8F1575D7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B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565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29</cp:revision>
  <dcterms:created xsi:type="dcterms:W3CDTF">2023-10-11T17:20:00Z</dcterms:created>
  <dcterms:modified xsi:type="dcterms:W3CDTF">2025-10-16T01:19:00Z</dcterms:modified>
</cp:coreProperties>
</file>