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8DDB" w14:textId="330C6024" w:rsidR="00315F09" w:rsidRPr="00315F09" w:rsidRDefault="00315F09" w:rsidP="00315F09">
      <w:pPr>
        <w:autoSpaceDE w:val="0"/>
        <w:autoSpaceDN w:val="0"/>
        <w:adjustRightInd w:val="0"/>
        <w:spacing w:after="0" w:line="240" w:lineRule="auto"/>
        <w:jc w:val="center"/>
        <w:rPr>
          <w:rFonts w:ascii="Times New Roman" w:hAnsi="Times New Roman" w:cs="Times New Roman"/>
          <w:b/>
          <w:bCs/>
          <w:kern w:val="0"/>
          <w:sz w:val="24"/>
          <w:szCs w:val="24"/>
        </w:rPr>
      </w:pPr>
      <w:r w:rsidRPr="00315F09">
        <w:rPr>
          <w:rFonts w:ascii="Times New Roman" w:hAnsi="Times New Roman" w:cs="Times New Roman"/>
          <w:kern w:val="0"/>
          <w:sz w:val="24"/>
          <w:szCs w:val="24"/>
          <w:lang w:val="en-CA"/>
        </w:rPr>
        <w:fldChar w:fldCharType="begin"/>
      </w:r>
      <w:r w:rsidRPr="00315F09">
        <w:rPr>
          <w:rFonts w:ascii="Times New Roman" w:hAnsi="Times New Roman" w:cs="Times New Roman"/>
          <w:kern w:val="0"/>
          <w:sz w:val="24"/>
          <w:szCs w:val="24"/>
          <w:lang w:val="en-CA"/>
        </w:rPr>
        <w:instrText xml:space="preserve"> SEQ CHAPTER \h \r 1</w:instrText>
      </w:r>
      <w:r w:rsidRPr="00315F09">
        <w:rPr>
          <w:rFonts w:ascii="Times New Roman" w:hAnsi="Times New Roman" w:cs="Times New Roman"/>
          <w:kern w:val="0"/>
          <w:sz w:val="24"/>
          <w:szCs w:val="24"/>
          <w:lang w:val="en-CA"/>
        </w:rPr>
        <w:fldChar w:fldCharType="end"/>
      </w:r>
      <w:r w:rsidR="00CD6987" w:rsidRPr="00315F09">
        <w:rPr>
          <w:rFonts w:ascii="Times New Roman" w:hAnsi="Times New Roman" w:cs="Times New Roman"/>
          <w:b/>
          <w:bCs/>
          <w:kern w:val="0"/>
          <w:sz w:val="24"/>
          <w:szCs w:val="24"/>
        </w:rPr>
        <w:t>9.1</w:t>
      </w:r>
      <w:r w:rsidR="00800C8D">
        <w:rPr>
          <w:rFonts w:ascii="Times New Roman" w:hAnsi="Times New Roman" w:cs="Times New Roman"/>
          <w:b/>
          <w:bCs/>
          <w:kern w:val="0"/>
          <w:sz w:val="24"/>
          <w:szCs w:val="24"/>
        </w:rPr>
        <w:t>4</w:t>
      </w:r>
      <w:r w:rsidR="00CD6987" w:rsidRPr="00315F09">
        <w:rPr>
          <w:rFonts w:ascii="Times New Roman" w:hAnsi="Times New Roman" w:cs="Times New Roman"/>
          <w:b/>
          <w:bCs/>
          <w:kern w:val="0"/>
          <w:sz w:val="24"/>
          <w:szCs w:val="24"/>
        </w:rPr>
        <w:t xml:space="preserve"> Particular</w:t>
      </w:r>
      <w:r w:rsidRPr="00315F09">
        <w:rPr>
          <w:rFonts w:ascii="Times New Roman" w:hAnsi="Times New Roman" w:cs="Times New Roman"/>
          <w:b/>
          <w:bCs/>
          <w:kern w:val="0"/>
          <w:sz w:val="24"/>
          <w:szCs w:val="24"/>
        </w:rPr>
        <w:t xml:space="preserve"> Rights—Fourth Amendment—Unreasonable Search—Exception </w:t>
      </w:r>
      <w:proofErr w:type="gramStart"/>
      <w:r>
        <w:rPr>
          <w:rFonts w:ascii="Times New Roman" w:hAnsi="Times New Roman" w:cs="Times New Roman"/>
          <w:b/>
          <w:bCs/>
          <w:kern w:val="0"/>
          <w:sz w:val="24"/>
          <w:szCs w:val="24"/>
        </w:rPr>
        <w:t>T</w:t>
      </w:r>
      <w:r w:rsidRPr="00315F09">
        <w:rPr>
          <w:rFonts w:ascii="Times New Roman" w:hAnsi="Times New Roman" w:cs="Times New Roman"/>
          <w:b/>
          <w:bCs/>
          <w:kern w:val="0"/>
          <w:sz w:val="24"/>
          <w:szCs w:val="24"/>
        </w:rPr>
        <w:t>o</w:t>
      </w:r>
      <w:proofErr w:type="gramEnd"/>
      <w:r w:rsidRPr="00315F09">
        <w:rPr>
          <w:rFonts w:ascii="Times New Roman" w:hAnsi="Times New Roman" w:cs="Times New Roman"/>
          <w:b/>
          <w:bCs/>
          <w:kern w:val="0"/>
          <w:sz w:val="24"/>
          <w:szCs w:val="24"/>
        </w:rPr>
        <w:t xml:space="preserve"> Warrant Requirement—Search Incident </w:t>
      </w:r>
      <w:r>
        <w:rPr>
          <w:rFonts w:ascii="Times New Roman" w:hAnsi="Times New Roman" w:cs="Times New Roman"/>
          <w:b/>
          <w:bCs/>
          <w:kern w:val="0"/>
          <w:sz w:val="24"/>
          <w:szCs w:val="24"/>
        </w:rPr>
        <w:t>T</w:t>
      </w:r>
      <w:r w:rsidRPr="00315F09">
        <w:rPr>
          <w:rFonts w:ascii="Times New Roman" w:hAnsi="Times New Roman" w:cs="Times New Roman"/>
          <w:b/>
          <w:bCs/>
          <w:kern w:val="0"/>
          <w:sz w:val="24"/>
          <w:szCs w:val="24"/>
        </w:rPr>
        <w:t>o Arrest</w:t>
      </w:r>
    </w:p>
    <w:p w14:paraId="0ADFFF3A" w14:textId="77777777" w:rsidR="00315F09" w:rsidRPr="00315F09" w:rsidRDefault="00315F09" w:rsidP="00315F09">
      <w:pPr>
        <w:autoSpaceDE w:val="0"/>
        <w:autoSpaceDN w:val="0"/>
        <w:adjustRightInd w:val="0"/>
        <w:spacing w:after="0" w:line="240" w:lineRule="auto"/>
        <w:rPr>
          <w:rFonts w:ascii="Times New Roman" w:hAnsi="Times New Roman" w:cs="Times New Roman"/>
          <w:b/>
          <w:bCs/>
          <w:kern w:val="0"/>
          <w:sz w:val="24"/>
          <w:szCs w:val="24"/>
        </w:rPr>
      </w:pPr>
    </w:p>
    <w:p w14:paraId="2BA9BECC"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b/>
          <w:bCs/>
          <w:kern w:val="0"/>
          <w:sz w:val="24"/>
          <w:szCs w:val="24"/>
          <w14:ligatures w14:val="none"/>
        </w:rPr>
        <w:tab/>
      </w:r>
      <w:r w:rsidRPr="00800C8D">
        <w:rPr>
          <w:rFonts w:ascii="Times New Roman" w:eastAsia="Calibri" w:hAnsi="Times New Roman" w:cs="Times New Roman"/>
          <w:kern w:val="0"/>
          <w:sz w:val="24"/>
          <w:szCs w:val="24"/>
          <w14:ligatures w14:val="none"/>
        </w:rPr>
        <w:t xml:space="preserve">In general, a search of [a person] [a person’s [residence]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w:t>
      </w:r>
      <w:proofErr w:type="gramStart"/>
      <w:r w:rsidRPr="00800C8D">
        <w:rPr>
          <w:rFonts w:ascii="Times New Roman" w:eastAsia="Calibri" w:hAnsi="Times New Roman" w:cs="Times New Roman"/>
          <w:kern w:val="0"/>
          <w:sz w:val="24"/>
          <w:szCs w:val="24"/>
          <w14:ligatures w14:val="none"/>
        </w:rPr>
        <w:t>required</w:t>
      </w:r>
      <w:proofErr w:type="gramEnd"/>
      <w:r w:rsidRPr="00800C8D">
        <w:rPr>
          <w:rFonts w:ascii="Times New Roman" w:eastAsia="Calibri" w:hAnsi="Times New Roman" w:cs="Times New Roman"/>
          <w:kern w:val="0"/>
          <w:sz w:val="24"/>
          <w:szCs w:val="24"/>
          <w14:ligatures w14:val="none"/>
        </w:rPr>
        <w:t xml:space="preserve"> and a search is reasonable if the search is incident to a lawful arrest. </w:t>
      </w:r>
    </w:p>
    <w:p w14:paraId="2A096BCE"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679938E"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ab/>
        <w:t>[I instruct you that the arrest of the plaintiff [</w:t>
      </w:r>
      <w:r w:rsidRPr="00800C8D">
        <w:rPr>
          <w:rFonts w:ascii="Times New Roman" w:eastAsia="Calibri" w:hAnsi="Times New Roman" w:cs="Times New Roman"/>
          <w:i/>
          <w:iCs/>
          <w:kern w:val="0"/>
          <w:sz w:val="24"/>
          <w:szCs w:val="24"/>
          <w:u w:val="single"/>
          <w14:ligatures w14:val="none"/>
        </w:rPr>
        <w:t>name</w:t>
      </w:r>
      <w:r w:rsidRPr="00800C8D">
        <w:rPr>
          <w:rFonts w:ascii="Times New Roman" w:eastAsia="Calibri" w:hAnsi="Times New Roman" w:cs="Times New Roman"/>
          <w:kern w:val="0"/>
          <w:sz w:val="24"/>
          <w:szCs w:val="24"/>
          <w14:ligatures w14:val="none"/>
        </w:rPr>
        <w:t>]</w:t>
      </w:r>
      <w:r w:rsidRPr="00800C8D">
        <w:rPr>
          <w:rFonts w:ascii="Times New Roman" w:eastAsia="Calibri" w:hAnsi="Times New Roman" w:cs="Times New Roman"/>
          <w:kern w:val="0"/>
          <w:sz w:val="24"/>
          <w14:ligatures w14:val="none"/>
        </w:rPr>
        <w:t xml:space="preserve"> </w:t>
      </w:r>
      <w:r w:rsidRPr="00800C8D">
        <w:rPr>
          <w:rFonts w:ascii="Times New Roman" w:eastAsia="Calibri" w:hAnsi="Times New Roman" w:cs="Times New Roman"/>
          <w:kern w:val="0"/>
          <w:sz w:val="24"/>
          <w:szCs w:val="24"/>
          <w14:ligatures w14:val="none"/>
        </w:rPr>
        <w:t>was a lawful arrest.]  [I instruct you that the arrest of the plaintiff [</w:t>
      </w:r>
      <w:r w:rsidRPr="00800C8D">
        <w:rPr>
          <w:rFonts w:ascii="Times New Roman" w:eastAsia="Calibri" w:hAnsi="Times New Roman" w:cs="Times New Roman"/>
          <w:i/>
          <w:iCs/>
          <w:kern w:val="0"/>
          <w:sz w:val="24"/>
          <w:szCs w:val="24"/>
          <w:u w:val="single"/>
          <w14:ligatures w14:val="none"/>
        </w:rPr>
        <w:t>name</w:t>
      </w:r>
      <w:r w:rsidRPr="00800C8D">
        <w:rPr>
          <w:rFonts w:ascii="Times New Roman" w:eastAsia="Calibri" w:hAnsi="Times New Roman" w:cs="Times New Roman"/>
          <w:kern w:val="0"/>
          <w:sz w:val="24"/>
          <w:szCs w:val="24"/>
          <w14:ligatures w14:val="none"/>
        </w:rPr>
        <w:t>]</w:t>
      </w:r>
      <w:r w:rsidRPr="00800C8D">
        <w:rPr>
          <w:rFonts w:ascii="Times New Roman" w:eastAsia="Calibri" w:hAnsi="Times New Roman" w:cs="Times New Roman"/>
          <w:kern w:val="0"/>
          <w:sz w:val="24"/>
          <w14:ligatures w14:val="none"/>
        </w:rPr>
        <w:t xml:space="preserve"> </w:t>
      </w:r>
      <w:r w:rsidRPr="00800C8D">
        <w:rPr>
          <w:rFonts w:ascii="Times New Roman" w:eastAsia="Calibri" w:hAnsi="Times New Roman" w:cs="Times New Roman"/>
          <w:kern w:val="0"/>
          <w:sz w:val="24"/>
          <w:szCs w:val="24"/>
          <w14:ligatures w14:val="none"/>
        </w:rPr>
        <w:t>was a lawful arrest if [</w:t>
      </w:r>
      <w:r w:rsidRPr="00800C8D">
        <w:rPr>
          <w:rFonts w:ascii="Times New Roman" w:eastAsia="Calibri" w:hAnsi="Times New Roman" w:cs="Times New Roman"/>
          <w:i/>
          <w:iCs/>
          <w:kern w:val="0"/>
          <w:sz w:val="24"/>
          <w:szCs w:val="24"/>
          <w:u w:val="single"/>
          <w14:ligatures w14:val="none"/>
        </w:rPr>
        <w:t xml:space="preserve">insert applicable legal </w:t>
      </w:r>
      <w:proofErr w:type="gramStart"/>
      <w:r w:rsidRPr="00800C8D">
        <w:rPr>
          <w:rFonts w:ascii="Times New Roman" w:eastAsia="Calibri" w:hAnsi="Times New Roman" w:cs="Times New Roman"/>
          <w:i/>
          <w:iCs/>
          <w:kern w:val="0"/>
          <w:sz w:val="24"/>
          <w:szCs w:val="24"/>
          <w:u w:val="single"/>
          <w14:ligatures w14:val="none"/>
        </w:rPr>
        <w:t>standard;</w:t>
      </w:r>
      <w:proofErr w:type="gramEnd"/>
      <w:r w:rsidRPr="00800C8D">
        <w:rPr>
          <w:rFonts w:ascii="Times New Roman" w:eastAsia="Calibri" w:hAnsi="Times New Roman" w:cs="Times New Roman"/>
          <w:i/>
          <w:iCs/>
          <w:kern w:val="0"/>
          <w:sz w:val="24"/>
          <w:szCs w:val="24"/>
          <w:u w:val="single"/>
          <w14:ligatures w14:val="none"/>
        </w:rPr>
        <w:t xml:space="preserve"> i.e., insert elements to show probable cause to arrest for a particular crime</w:t>
      </w:r>
      <w:r w:rsidRPr="00800C8D">
        <w:rPr>
          <w:rFonts w:ascii="Times New Roman" w:eastAsia="Calibri" w:hAnsi="Times New Roman" w:cs="Times New Roman"/>
          <w:kern w:val="0"/>
          <w:sz w:val="24"/>
          <w:szCs w:val="24"/>
          <w14:ligatures w14:val="none"/>
        </w:rPr>
        <w:t>]].</w:t>
      </w:r>
    </w:p>
    <w:p w14:paraId="411E80A2"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A399CB8"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ab/>
        <w:t>A search is “incident to” a lawful arrest if:</w:t>
      </w:r>
    </w:p>
    <w:p w14:paraId="1F3E1ED4"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D3178A5" w14:textId="77777777" w:rsidR="00800C8D" w:rsidRPr="00800C8D" w:rsidRDefault="00800C8D" w:rsidP="00800C8D">
      <w:pPr>
        <w:tabs>
          <w:tab w:val="left" w:pos="720"/>
          <w:tab w:val="left" w:pos="1260"/>
        </w:tabs>
        <w:autoSpaceDE w:val="0"/>
        <w:autoSpaceDN w:val="0"/>
        <w:adjustRightInd w:val="0"/>
        <w:spacing w:after="0" w:line="240" w:lineRule="auto"/>
        <w:ind w:left="1260" w:hanging="1260"/>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ab/>
        <w:t>(1)</w:t>
      </w:r>
      <w:r w:rsidRPr="00800C8D">
        <w:rPr>
          <w:rFonts w:ascii="Times New Roman" w:eastAsia="Calibri" w:hAnsi="Times New Roman" w:cs="Times New Roman"/>
          <w:kern w:val="0"/>
          <w:sz w:val="24"/>
          <w:szCs w:val="24"/>
          <w14:ligatures w14:val="none"/>
        </w:rPr>
        <w:tab/>
        <w:t>it occurs roughly contemporaneously with the arrest, that is, at the same time or shortly after the arrest and without any intervening events separating the search from the arrest; and</w:t>
      </w:r>
    </w:p>
    <w:p w14:paraId="5DEE0C4F" w14:textId="77777777" w:rsidR="00800C8D" w:rsidRPr="00800C8D" w:rsidRDefault="00800C8D" w:rsidP="00800C8D">
      <w:pPr>
        <w:tabs>
          <w:tab w:val="left" w:pos="1260"/>
        </w:tabs>
        <w:autoSpaceDE w:val="0"/>
        <w:autoSpaceDN w:val="0"/>
        <w:adjustRightInd w:val="0"/>
        <w:spacing w:after="0" w:line="240" w:lineRule="auto"/>
        <w:ind w:left="1260" w:hanging="1260"/>
        <w:rPr>
          <w:rFonts w:ascii="Times New Roman" w:eastAsia="Calibri" w:hAnsi="Times New Roman" w:cs="Times New Roman"/>
          <w:kern w:val="0"/>
          <w:sz w:val="24"/>
          <w:szCs w:val="24"/>
          <w14:ligatures w14:val="none"/>
        </w:rPr>
      </w:pPr>
    </w:p>
    <w:p w14:paraId="105B1FA6" w14:textId="77777777" w:rsidR="00800C8D" w:rsidRPr="00800C8D" w:rsidRDefault="00800C8D" w:rsidP="00800C8D">
      <w:pPr>
        <w:tabs>
          <w:tab w:val="left" w:pos="720"/>
          <w:tab w:val="left" w:pos="1260"/>
        </w:tabs>
        <w:autoSpaceDE w:val="0"/>
        <w:autoSpaceDN w:val="0"/>
        <w:adjustRightInd w:val="0"/>
        <w:spacing w:after="0" w:line="240" w:lineRule="auto"/>
        <w:ind w:left="1260" w:hanging="1260"/>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ab/>
        <w:t>(2)</w:t>
      </w:r>
      <w:r w:rsidRPr="00800C8D">
        <w:rPr>
          <w:rFonts w:ascii="Times New Roman" w:eastAsia="Calibri" w:hAnsi="Times New Roman" w:cs="Times New Roman"/>
          <w:kern w:val="0"/>
          <w:sz w:val="24"/>
          <w:szCs w:val="24"/>
          <w14:ligatures w14:val="none"/>
        </w:rPr>
        <w:tab/>
        <w:t xml:space="preserve">it is limited to a reasonable search </w:t>
      </w:r>
      <w:proofErr w:type="gramStart"/>
      <w:r w:rsidRPr="00800C8D">
        <w:rPr>
          <w:rFonts w:ascii="Times New Roman" w:eastAsia="Calibri" w:hAnsi="Times New Roman" w:cs="Times New Roman"/>
          <w:kern w:val="0"/>
          <w:sz w:val="24"/>
          <w:szCs w:val="24"/>
          <w14:ligatures w14:val="none"/>
        </w:rPr>
        <w:t>of</w:t>
      </w:r>
      <w:proofErr w:type="gramEnd"/>
      <w:r w:rsidRPr="00800C8D">
        <w:rPr>
          <w:rFonts w:ascii="Times New Roman" w:eastAsia="Calibri" w:hAnsi="Times New Roman" w:cs="Times New Roman"/>
          <w:kern w:val="0"/>
          <w:sz w:val="24"/>
          <w:szCs w:val="24"/>
          <w14:ligatures w14:val="none"/>
        </w:rPr>
        <w:t xml:space="preserve"> the person arrested and to the immediate area within which that person might gain possession of a weapon or might destroy or hide evidence at the time of the search.</w:t>
      </w:r>
    </w:p>
    <w:p w14:paraId="12D9DAD4"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u w:val="double"/>
          <w14:ligatures w14:val="none"/>
        </w:rPr>
      </w:pPr>
    </w:p>
    <w:p w14:paraId="4AACC158"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ab/>
        <w:t>To prove the search in this case was unreasonable, the plaintiff [</w:t>
      </w:r>
      <w:r w:rsidRPr="00800C8D">
        <w:rPr>
          <w:rFonts w:ascii="Times New Roman" w:eastAsia="Calibri" w:hAnsi="Times New Roman" w:cs="Times New Roman"/>
          <w:i/>
          <w:iCs/>
          <w:kern w:val="0"/>
          <w:sz w:val="24"/>
          <w:szCs w:val="24"/>
          <w:u w:val="single"/>
          <w14:ligatures w14:val="none"/>
        </w:rPr>
        <w:t>name</w:t>
      </w:r>
      <w:r w:rsidRPr="00800C8D">
        <w:rPr>
          <w:rFonts w:ascii="Times New Roman" w:eastAsia="Calibri" w:hAnsi="Times New Roman" w:cs="Times New Roman"/>
          <w:kern w:val="0"/>
          <w:sz w:val="24"/>
          <w:szCs w:val="24"/>
          <w14:ligatures w14:val="none"/>
        </w:rPr>
        <w:t>]</w:t>
      </w:r>
      <w:r w:rsidRPr="00800C8D">
        <w:rPr>
          <w:rFonts w:ascii="Times New Roman" w:eastAsia="Calibri" w:hAnsi="Times New Roman" w:cs="Times New Roman"/>
          <w:kern w:val="0"/>
          <w:sz w:val="24"/>
          <w14:ligatures w14:val="none"/>
        </w:rPr>
        <w:t xml:space="preserve"> </w:t>
      </w:r>
      <w:r w:rsidRPr="00800C8D">
        <w:rPr>
          <w:rFonts w:ascii="Times New Roman" w:eastAsia="Calibri" w:hAnsi="Times New Roman" w:cs="Times New Roman"/>
          <w:kern w:val="0"/>
          <w:sz w:val="24"/>
          <w:szCs w:val="24"/>
          <w14:ligatures w14:val="none"/>
        </w:rPr>
        <w:t>must prove by a preponderance of the evidence that this exception to the warrant requirement does not apply; that is, that the search was not incident to a lawful arrest.</w:t>
      </w:r>
    </w:p>
    <w:p w14:paraId="60822E00"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7D2B9874" w14:textId="77777777" w:rsidR="00800C8D" w:rsidRPr="00800C8D" w:rsidRDefault="00800C8D" w:rsidP="00800C8D">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800C8D">
        <w:rPr>
          <w:rFonts w:ascii="Times New Roman" w:eastAsia="Calibri" w:hAnsi="Times New Roman" w:cs="Times New Roman"/>
          <w:b/>
          <w:bCs/>
          <w:kern w:val="0"/>
          <w:sz w:val="24"/>
          <w:szCs w:val="24"/>
          <w14:ligatures w14:val="none"/>
        </w:rPr>
        <w:t>Comment</w:t>
      </w:r>
    </w:p>
    <w:p w14:paraId="0C848DE9" w14:textId="77777777" w:rsidR="00800C8D" w:rsidRPr="00800C8D" w:rsidRDefault="00800C8D" w:rsidP="00800C8D">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5444C92F"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b/>
          <w:bCs/>
          <w:kern w:val="0"/>
          <w:sz w:val="24"/>
          <w:szCs w:val="24"/>
          <w14:ligatures w14:val="none"/>
        </w:rPr>
        <w:tab/>
      </w:r>
      <w:r w:rsidRPr="00800C8D">
        <w:rPr>
          <w:rFonts w:ascii="Times New Roman" w:eastAsia="Calibri" w:hAnsi="Times New Roman" w:cs="Times New Roman"/>
          <w:kern w:val="0"/>
          <w:sz w:val="24"/>
          <w:szCs w:val="24"/>
          <w14:ligatures w14:val="none"/>
        </w:rPr>
        <w:t xml:space="preserve">Use this instruction only in conjunction with the applicable </w:t>
      </w:r>
      <w:proofErr w:type="gramStart"/>
      <w:r w:rsidRPr="00800C8D">
        <w:rPr>
          <w:rFonts w:ascii="Times New Roman" w:eastAsia="Calibri" w:hAnsi="Times New Roman" w:cs="Times New Roman"/>
          <w:kern w:val="0"/>
          <w:sz w:val="24"/>
          <w:szCs w:val="24"/>
          <w14:ligatures w14:val="none"/>
        </w:rPr>
        <w:t>elements</w:t>
      </w:r>
      <w:proofErr w:type="gramEnd"/>
      <w:r w:rsidRPr="00800C8D">
        <w:rPr>
          <w:rFonts w:ascii="Times New Roman" w:eastAsia="Calibri" w:hAnsi="Times New Roman" w:cs="Times New Roman"/>
          <w:kern w:val="0"/>
          <w:sz w:val="24"/>
          <w:szCs w:val="24"/>
          <w14:ligatures w14:val="none"/>
        </w:rPr>
        <w:t xml:space="preserve"> instructions, Instructions 9.3-9.8 and in conjunction with Instruction 9.13 (Particular Rights—Fourth Amendment—Unreasonable Search—Generally). When the search incident to arrest involves a vehicle, refer to Instruction 9.15 (Particular Rights—Fourth Amendment—Unreasonable Search—Exception to Warrant Requirement—Search of Vehicle Incident to Arrest of a Recent Occupant). </w:t>
      </w:r>
      <w:r w:rsidRPr="00800C8D">
        <w:rPr>
          <w:rFonts w:ascii="Times New Roman" w:eastAsia="Calibri" w:hAnsi="Times New Roman" w:cs="Times New Roman"/>
          <w:kern w:val="0"/>
          <w:sz w:val="24"/>
          <w:szCs w:val="24"/>
          <w14:ligatures w14:val="none"/>
        </w:rPr>
        <w:tab/>
      </w:r>
    </w:p>
    <w:p w14:paraId="6DE6E9FC"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EAB678D" w14:textId="77777777" w:rsidR="00800C8D" w:rsidRPr="00800C8D" w:rsidRDefault="00800C8D" w:rsidP="00800C8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 xml:space="preserve">“A search incident to a lawful arrest is an exception to the general rule that warrantless searches violate the Fourth Amendment.” </w:t>
      </w:r>
      <w:r w:rsidRPr="00800C8D">
        <w:rPr>
          <w:rFonts w:ascii="Times New Roman" w:eastAsia="Calibri" w:hAnsi="Times New Roman" w:cs="Times New Roman"/>
          <w:i/>
          <w:iCs/>
          <w:kern w:val="0"/>
          <w:sz w:val="24"/>
          <w:szCs w:val="24"/>
          <w14:ligatures w14:val="none"/>
        </w:rPr>
        <w:t>United States v. Camou</w:t>
      </w:r>
      <w:r w:rsidRPr="00800C8D">
        <w:rPr>
          <w:rFonts w:ascii="Times New Roman" w:eastAsia="Calibri" w:hAnsi="Times New Roman" w:cs="Times New Roman"/>
          <w:kern w:val="0"/>
          <w:sz w:val="24"/>
          <w:szCs w:val="24"/>
          <w14:ligatures w14:val="none"/>
        </w:rPr>
        <w:t xml:space="preserve">, 773 F.3d 932, 937 (9th Cir. 2014); </w:t>
      </w:r>
      <w:r w:rsidRPr="00800C8D">
        <w:rPr>
          <w:rFonts w:ascii="Times New Roman" w:eastAsia="Calibri" w:hAnsi="Times New Roman" w:cs="Times New Roman"/>
          <w:i/>
          <w:iCs/>
          <w:kern w:val="0"/>
          <w:sz w:val="24"/>
          <w:szCs w:val="24"/>
          <w14:ligatures w14:val="none"/>
        </w:rPr>
        <w:t>see Arizona v. Gant</w:t>
      </w:r>
      <w:r w:rsidRPr="00800C8D">
        <w:rPr>
          <w:rFonts w:ascii="Times New Roman" w:eastAsia="Calibri" w:hAnsi="Times New Roman" w:cs="Times New Roman"/>
          <w:kern w:val="0"/>
          <w:sz w:val="24"/>
          <w:szCs w:val="24"/>
          <w14:ligatures w14:val="none"/>
        </w:rPr>
        <w:t xml:space="preserve">, 556 U.S. 332, 338 (2009). There are two general requirements </w:t>
      </w:r>
      <w:proofErr w:type="gramStart"/>
      <w:r w:rsidRPr="00800C8D">
        <w:rPr>
          <w:rFonts w:ascii="Times New Roman" w:eastAsia="Calibri" w:hAnsi="Times New Roman" w:cs="Times New Roman"/>
          <w:kern w:val="0"/>
          <w:sz w:val="24"/>
          <w:szCs w:val="24"/>
          <w14:ligatures w14:val="none"/>
        </w:rPr>
        <w:t>of</w:t>
      </w:r>
      <w:proofErr w:type="gramEnd"/>
      <w:r w:rsidRPr="00800C8D">
        <w:rPr>
          <w:rFonts w:ascii="Times New Roman" w:eastAsia="Calibri" w:hAnsi="Times New Roman" w:cs="Times New Roman"/>
          <w:kern w:val="0"/>
          <w:sz w:val="24"/>
          <w:szCs w:val="24"/>
          <w14:ligatures w14:val="none"/>
        </w:rPr>
        <w:t xml:space="preserve"> a valid search incident to an arrest. </w:t>
      </w:r>
      <w:r w:rsidRPr="00800C8D">
        <w:rPr>
          <w:rFonts w:ascii="Times New Roman" w:eastAsia="Calibri" w:hAnsi="Times New Roman" w:cs="Times New Roman"/>
          <w:i/>
          <w:iCs/>
          <w:kern w:val="0"/>
          <w:sz w:val="24"/>
          <w:szCs w:val="24"/>
          <w14:ligatures w14:val="none"/>
        </w:rPr>
        <w:t>Camou</w:t>
      </w:r>
      <w:r w:rsidRPr="00800C8D">
        <w:rPr>
          <w:rFonts w:ascii="Times New Roman" w:eastAsia="Calibri" w:hAnsi="Times New Roman" w:cs="Times New Roman"/>
          <w:kern w:val="0"/>
          <w:sz w:val="24"/>
          <w:szCs w:val="24"/>
          <w14:ligatures w14:val="none"/>
        </w:rPr>
        <w:t xml:space="preserve">, 773 F.3d at 937-38 (“The determination of the validity of a search incident to arrest in this circuit is a two-fold inquiry: (1) was the searched item ‘within the arrestee’s immediate control when he was arrested’; [and] (2) did ‘events occurring after the arrest but before the search ma[k]e the search unreasonable’?” (second alteration in original) (quoting </w:t>
      </w:r>
      <w:r w:rsidRPr="00800C8D">
        <w:rPr>
          <w:rFonts w:ascii="Times New Roman" w:eastAsia="Calibri" w:hAnsi="Times New Roman" w:cs="Times New Roman"/>
          <w:i/>
          <w:iCs/>
          <w:kern w:val="0"/>
          <w:sz w:val="24"/>
          <w:szCs w:val="24"/>
          <w14:ligatures w14:val="none"/>
        </w:rPr>
        <w:t>United States v. Maddox</w:t>
      </w:r>
      <w:r w:rsidRPr="00800C8D">
        <w:rPr>
          <w:rFonts w:ascii="Times New Roman" w:eastAsia="Calibri" w:hAnsi="Times New Roman" w:cs="Times New Roman"/>
          <w:kern w:val="0"/>
          <w:sz w:val="24"/>
          <w:szCs w:val="24"/>
          <w14:ligatures w14:val="none"/>
        </w:rPr>
        <w:t>, 614 F.3d 1046, 1048 (9th Cir. 2010)).</w:t>
      </w:r>
    </w:p>
    <w:p w14:paraId="20B06191"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99BCD3F" w14:textId="77777777" w:rsidR="00800C8D" w:rsidRPr="00800C8D" w:rsidRDefault="00800C8D" w:rsidP="00800C8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lastRenderedPageBreak/>
        <w:t xml:space="preserve">The first requirement is that the search must be “limited to the arrestee’s person or areas in the arrestee’s ‘immediate control’ at the time of arrest.” </w:t>
      </w:r>
      <w:r w:rsidRPr="00800C8D">
        <w:rPr>
          <w:rFonts w:ascii="Times New Roman" w:eastAsia="Calibri" w:hAnsi="Times New Roman" w:cs="Times New Roman"/>
          <w:i/>
          <w:iCs/>
          <w:kern w:val="0"/>
          <w:sz w:val="24"/>
          <w:szCs w:val="24"/>
          <w14:ligatures w14:val="none"/>
        </w:rPr>
        <w:t>Id.</w:t>
      </w:r>
      <w:r w:rsidRPr="00800C8D">
        <w:rPr>
          <w:rFonts w:ascii="Times New Roman" w:eastAsia="Calibri" w:hAnsi="Times New Roman" w:cs="Times New Roman"/>
          <w:kern w:val="0"/>
          <w:sz w:val="24"/>
          <w:szCs w:val="24"/>
          <w14:ligatures w14:val="none"/>
        </w:rPr>
        <w:t xml:space="preserve"> at 937 (quoting </w:t>
      </w:r>
      <w:r w:rsidRPr="00800C8D">
        <w:rPr>
          <w:rFonts w:ascii="Times New Roman" w:eastAsia="Calibri" w:hAnsi="Times New Roman" w:cs="Times New Roman"/>
          <w:i/>
          <w:iCs/>
          <w:kern w:val="0"/>
          <w:sz w:val="24"/>
          <w:szCs w:val="24"/>
          <w14:ligatures w14:val="none"/>
        </w:rPr>
        <w:t>Gant</w:t>
      </w:r>
      <w:r w:rsidRPr="00800C8D">
        <w:rPr>
          <w:rFonts w:ascii="Times New Roman" w:eastAsia="Calibri" w:hAnsi="Times New Roman" w:cs="Times New Roman"/>
          <w:kern w:val="0"/>
          <w:sz w:val="24"/>
          <w:szCs w:val="24"/>
          <w14:ligatures w14:val="none"/>
        </w:rPr>
        <w:t xml:space="preserve">, 556 U.S. at 339). “Immediate control” means “the area from within which [the arrestee] might gain possession of a weapon or destructible evidence.” </w:t>
      </w:r>
      <w:r w:rsidRPr="00800C8D">
        <w:rPr>
          <w:rFonts w:ascii="Times New Roman" w:eastAsia="Calibri" w:hAnsi="Times New Roman" w:cs="Times New Roman"/>
          <w:i/>
          <w:iCs/>
          <w:kern w:val="0"/>
          <w:sz w:val="24"/>
          <w:szCs w:val="24"/>
          <w14:ligatures w14:val="none"/>
        </w:rPr>
        <w:t>Gant</w:t>
      </w:r>
      <w:r w:rsidRPr="00800C8D">
        <w:rPr>
          <w:rFonts w:ascii="Times New Roman" w:eastAsia="Calibri" w:hAnsi="Times New Roman" w:cs="Times New Roman"/>
          <w:kern w:val="0"/>
          <w:sz w:val="24"/>
          <w:szCs w:val="24"/>
          <w14:ligatures w14:val="none"/>
        </w:rPr>
        <w:t xml:space="preserve">, 556 U.S. at 335 (quoting </w:t>
      </w:r>
      <w:r w:rsidRPr="00800C8D">
        <w:rPr>
          <w:rFonts w:ascii="Times New Roman" w:eastAsia="Calibri" w:hAnsi="Times New Roman" w:cs="Times New Roman"/>
          <w:i/>
          <w:iCs/>
          <w:kern w:val="0"/>
          <w:sz w:val="24"/>
          <w:szCs w:val="24"/>
          <w14:ligatures w14:val="none"/>
        </w:rPr>
        <w:t>Chimel v. California</w:t>
      </w:r>
      <w:r w:rsidRPr="00800C8D">
        <w:rPr>
          <w:rFonts w:ascii="Times New Roman" w:eastAsia="Calibri" w:hAnsi="Times New Roman" w:cs="Times New Roman"/>
          <w:kern w:val="0"/>
          <w:sz w:val="24"/>
          <w:szCs w:val="24"/>
          <w14:ligatures w14:val="none"/>
        </w:rPr>
        <w:t xml:space="preserve">, 395 U.S. 752, 763 (1969)). “Those areas include the arrestee’s person and the inside pockets of the arrestee’s clothing.” </w:t>
      </w:r>
      <w:r w:rsidRPr="00800C8D">
        <w:rPr>
          <w:rFonts w:ascii="Times New Roman" w:eastAsia="Calibri" w:hAnsi="Times New Roman" w:cs="Times New Roman"/>
          <w:i/>
          <w:iCs/>
          <w:kern w:val="0"/>
          <w:sz w:val="24"/>
          <w:szCs w:val="24"/>
          <w14:ligatures w14:val="none"/>
        </w:rPr>
        <w:t>United States v. Williams</w:t>
      </w:r>
      <w:r w:rsidRPr="00800C8D">
        <w:rPr>
          <w:rFonts w:ascii="Times New Roman" w:eastAsia="Calibri" w:hAnsi="Times New Roman" w:cs="Times New Roman"/>
          <w:kern w:val="0"/>
          <w:sz w:val="24"/>
          <w:szCs w:val="24"/>
          <w14:ligatures w14:val="none"/>
        </w:rPr>
        <w:t xml:space="preserve">, 846 F.3d 303, 312 (9th Cir. 2016) (citing </w:t>
      </w:r>
      <w:r w:rsidRPr="00800C8D">
        <w:rPr>
          <w:rFonts w:ascii="Times New Roman" w:eastAsia="Calibri" w:hAnsi="Times New Roman" w:cs="Times New Roman"/>
          <w:i/>
          <w:iCs/>
          <w:kern w:val="0"/>
          <w:sz w:val="24"/>
          <w:szCs w:val="24"/>
          <w14:ligatures w14:val="none"/>
        </w:rPr>
        <w:t>United States v. Robinson</w:t>
      </w:r>
      <w:r w:rsidRPr="00800C8D">
        <w:rPr>
          <w:rFonts w:ascii="Times New Roman" w:eastAsia="Calibri" w:hAnsi="Times New Roman" w:cs="Times New Roman"/>
          <w:kern w:val="0"/>
          <w:sz w:val="24"/>
          <w:szCs w:val="24"/>
          <w14:ligatures w14:val="none"/>
        </w:rPr>
        <w:t xml:space="preserve">, 414 U.S. 218, 224-25 (1973)). But those areas do not “extend to ‘a strip search or bodily </w:t>
      </w:r>
      <w:proofErr w:type="gramStart"/>
      <w:r w:rsidRPr="00800C8D">
        <w:rPr>
          <w:rFonts w:ascii="Times New Roman" w:eastAsia="Calibri" w:hAnsi="Times New Roman" w:cs="Times New Roman"/>
          <w:kern w:val="0"/>
          <w:sz w:val="24"/>
          <w:szCs w:val="24"/>
          <w14:ligatures w14:val="none"/>
        </w:rPr>
        <w:t>intrusion.’”</w:t>
      </w:r>
      <w:proofErr w:type="gramEnd"/>
      <w:r w:rsidRPr="00800C8D">
        <w:rPr>
          <w:rFonts w:ascii="Times New Roman" w:eastAsia="Calibri" w:hAnsi="Times New Roman" w:cs="Times New Roman"/>
          <w:kern w:val="0"/>
          <w:sz w:val="24"/>
          <w:szCs w:val="24"/>
          <w14:ligatures w14:val="none"/>
        </w:rPr>
        <w:t xml:space="preserve"> </w:t>
      </w:r>
      <w:r w:rsidRPr="00800C8D">
        <w:rPr>
          <w:rFonts w:ascii="Times New Roman" w:eastAsia="Calibri" w:hAnsi="Times New Roman" w:cs="Times New Roman"/>
          <w:i/>
          <w:iCs/>
          <w:kern w:val="0"/>
          <w:sz w:val="24"/>
          <w:szCs w:val="24"/>
          <w14:ligatures w14:val="none"/>
        </w:rPr>
        <w:t>Fuller v. M.G. Jewelry</w:t>
      </w:r>
      <w:r w:rsidRPr="00800C8D">
        <w:rPr>
          <w:rFonts w:ascii="Times New Roman" w:eastAsia="Calibri" w:hAnsi="Times New Roman" w:cs="Times New Roman"/>
          <w:kern w:val="0"/>
          <w:sz w:val="24"/>
          <w:szCs w:val="24"/>
          <w14:ligatures w14:val="none"/>
        </w:rPr>
        <w:t xml:space="preserve">, 950 F.2d 1437, 1446 (9th Cir. 1991) (quoting </w:t>
      </w:r>
      <w:r w:rsidRPr="00800C8D">
        <w:rPr>
          <w:rFonts w:ascii="Times New Roman" w:eastAsia="Calibri" w:hAnsi="Times New Roman" w:cs="Times New Roman"/>
          <w:i/>
          <w:iCs/>
          <w:kern w:val="0"/>
          <w:sz w:val="24"/>
          <w:szCs w:val="24"/>
          <w14:ligatures w14:val="none"/>
        </w:rPr>
        <w:t>Giles v. Ackerman</w:t>
      </w:r>
      <w:r w:rsidRPr="00800C8D">
        <w:rPr>
          <w:rFonts w:ascii="Times New Roman" w:eastAsia="Calibri" w:hAnsi="Times New Roman" w:cs="Times New Roman"/>
          <w:kern w:val="0"/>
          <w:sz w:val="24"/>
          <w:szCs w:val="24"/>
          <w14:ligatures w14:val="none"/>
        </w:rPr>
        <w:t>, 746 F.2d 614, 616 (9th Cir. 1984)).</w:t>
      </w:r>
    </w:p>
    <w:p w14:paraId="591DADFF"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62A8EDBF" w14:textId="77777777" w:rsidR="00800C8D" w:rsidRPr="00800C8D" w:rsidRDefault="00800C8D" w:rsidP="00800C8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 xml:space="preserve">The second requirement is that the search must be “spatially and temporally incident to the arrest,” and, to satisfy the temporal requirement, must be “roughly contemporaneous with the arrest.” </w:t>
      </w:r>
      <w:r w:rsidRPr="00800C8D">
        <w:rPr>
          <w:rFonts w:ascii="Times New Roman" w:eastAsia="Calibri" w:hAnsi="Times New Roman" w:cs="Times New Roman"/>
          <w:i/>
          <w:iCs/>
          <w:kern w:val="0"/>
          <w:sz w:val="24"/>
          <w:szCs w:val="24"/>
          <w14:ligatures w14:val="none"/>
        </w:rPr>
        <w:t>Camou</w:t>
      </w:r>
      <w:r w:rsidRPr="00800C8D">
        <w:rPr>
          <w:rFonts w:ascii="Times New Roman" w:eastAsia="Calibri" w:hAnsi="Times New Roman" w:cs="Times New Roman"/>
          <w:kern w:val="0"/>
          <w:sz w:val="24"/>
          <w:szCs w:val="24"/>
          <w14:ligatures w14:val="none"/>
        </w:rPr>
        <w:t xml:space="preserve">, 773 F.3d at 937 (quoting </w:t>
      </w:r>
      <w:r w:rsidRPr="00800C8D">
        <w:rPr>
          <w:rFonts w:ascii="Times New Roman" w:eastAsia="Calibri" w:hAnsi="Times New Roman" w:cs="Times New Roman"/>
          <w:i/>
          <w:iCs/>
          <w:kern w:val="0"/>
          <w:sz w:val="24"/>
          <w:szCs w:val="24"/>
          <w14:ligatures w14:val="none"/>
        </w:rPr>
        <w:t>United States v. Smith</w:t>
      </w:r>
      <w:r w:rsidRPr="00800C8D">
        <w:rPr>
          <w:rFonts w:ascii="Times New Roman" w:eastAsia="Calibri" w:hAnsi="Times New Roman" w:cs="Times New Roman"/>
          <w:kern w:val="0"/>
          <w:sz w:val="24"/>
          <w:szCs w:val="24"/>
          <w14:ligatures w14:val="none"/>
        </w:rPr>
        <w:t xml:space="preserve">, 389 F.3d 944, 951 (9th Cir. 2004) (per </w:t>
      </w:r>
      <w:proofErr w:type="spellStart"/>
      <w:r w:rsidRPr="00800C8D">
        <w:rPr>
          <w:rFonts w:ascii="Times New Roman" w:eastAsia="Calibri" w:hAnsi="Times New Roman" w:cs="Times New Roman"/>
          <w:kern w:val="0"/>
          <w:sz w:val="24"/>
          <w:szCs w:val="24"/>
          <w14:ligatures w14:val="none"/>
        </w:rPr>
        <w:t>curiam</w:t>
      </w:r>
      <w:proofErr w:type="spellEnd"/>
      <w:r w:rsidRPr="00800C8D">
        <w:rPr>
          <w:rFonts w:ascii="Times New Roman" w:eastAsia="Calibri" w:hAnsi="Times New Roman" w:cs="Times New Roman"/>
          <w:kern w:val="0"/>
          <w:sz w:val="24"/>
          <w:szCs w:val="24"/>
          <w14:ligatures w14:val="none"/>
        </w:rPr>
        <w:t xml:space="preserve">)) (holding border patrol agent’s search of arrestee’s cell phone 80 minutes after arrest not roughly contemporaneous with arrest). A search remote in time or place from the arrest is not justified. </w:t>
      </w:r>
      <w:r w:rsidRPr="00800C8D">
        <w:rPr>
          <w:rFonts w:ascii="Times New Roman" w:eastAsia="Calibri" w:hAnsi="Times New Roman" w:cs="Times New Roman"/>
          <w:i/>
          <w:iCs/>
          <w:kern w:val="0"/>
          <w:sz w:val="24"/>
          <w:szCs w:val="24"/>
          <w14:ligatures w14:val="none"/>
        </w:rPr>
        <w:t>Id.</w:t>
      </w:r>
      <w:r w:rsidRPr="00800C8D">
        <w:rPr>
          <w:rFonts w:ascii="Times New Roman" w:eastAsia="Calibri" w:hAnsi="Times New Roman" w:cs="Times New Roman"/>
          <w:kern w:val="0"/>
          <w:sz w:val="24"/>
          <w:szCs w:val="24"/>
          <w14:ligatures w14:val="none"/>
        </w:rPr>
        <w:t xml:space="preserve"> (quoting </w:t>
      </w:r>
      <w:r w:rsidRPr="00800C8D">
        <w:rPr>
          <w:rFonts w:ascii="Times New Roman" w:eastAsia="Calibri" w:hAnsi="Times New Roman" w:cs="Times New Roman"/>
          <w:i/>
          <w:iCs/>
          <w:kern w:val="0"/>
          <w:sz w:val="24"/>
          <w:szCs w:val="24"/>
          <w14:ligatures w14:val="none"/>
        </w:rPr>
        <w:t>United States v. Chadwick</w:t>
      </w:r>
      <w:r w:rsidRPr="00800C8D">
        <w:rPr>
          <w:rFonts w:ascii="Times New Roman" w:eastAsia="Calibri" w:hAnsi="Times New Roman" w:cs="Times New Roman"/>
          <w:kern w:val="0"/>
          <w:sz w:val="24"/>
          <w:szCs w:val="24"/>
          <w14:ligatures w14:val="none"/>
        </w:rPr>
        <w:t xml:space="preserve">, 433 U.S. 1, 15 (1977), </w:t>
      </w:r>
      <w:r w:rsidRPr="00800C8D">
        <w:rPr>
          <w:rFonts w:ascii="Times New Roman" w:eastAsia="Calibri" w:hAnsi="Times New Roman" w:cs="Times New Roman"/>
          <w:i/>
          <w:iCs/>
          <w:kern w:val="0"/>
          <w:sz w:val="24"/>
          <w:szCs w:val="24"/>
          <w14:ligatures w14:val="none"/>
        </w:rPr>
        <w:t>abrogated on other grounds by California v. Acevedo</w:t>
      </w:r>
      <w:r w:rsidRPr="00800C8D">
        <w:rPr>
          <w:rFonts w:ascii="Times New Roman" w:eastAsia="Calibri" w:hAnsi="Times New Roman" w:cs="Times New Roman"/>
          <w:kern w:val="0"/>
          <w:sz w:val="24"/>
          <w:szCs w:val="24"/>
          <w14:ligatures w14:val="none"/>
        </w:rPr>
        <w:t xml:space="preserve">, 500 U.S. 565, 580 (1991)). Further, “[m]ere temporal or spatial proximity of the search to the arrest does not justify a search; some threat or exigency must be present to justify the delay.” </w:t>
      </w:r>
      <w:r w:rsidRPr="00800C8D">
        <w:rPr>
          <w:rFonts w:ascii="Times New Roman" w:eastAsia="Calibri" w:hAnsi="Times New Roman" w:cs="Times New Roman"/>
          <w:i/>
          <w:iCs/>
          <w:kern w:val="0"/>
          <w:sz w:val="24"/>
          <w:szCs w:val="24"/>
          <w14:ligatures w14:val="none"/>
        </w:rPr>
        <w:t>Maddox</w:t>
      </w:r>
      <w:r w:rsidRPr="00800C8D">
        <w:rPr>
          <w:rFonts w:ascii="Times New Roman" w:eastAsia="Calibri" w:hAnsi="Times New Roman" w:cs="Times New Roman"/>
          <w:kern w:val="0"/>
          <w:sz w:val="24"/>
          <w:szCs w:val="24"/>
          <w14:ligatures w14:val="none"/>
        </w:rPr>
        <w:t>, 614 F.3d at 1049 (holding that after the arrestee was secured in the patrol car, search of a keychain that was within the arrestee’s “immediate control” at the time of the arrest but subsequently tossed into arrestee’s car was invalid under search-incident-to-arrest exception because, at the time of the search, arrestee was “incapable of either destroying [the keychain] or presenting any threat to the arresting officer”).</w:t>
      </w:r>
    </w:p>
    <w:p w14:paraId="05B597A0"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286836F"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ab/>
        <w:t xml:space="preserve">An actual arrest is a prerequisite for this exception to the warrant requirement. </w:t>
      </w:r>
      <w:r w:rsidRPr="00800C8D">
        <w:rPr>
          <w:rFonts w:ascii="Times New Roman" w:eastAsia="Calibri" w:hAnsi="Times New Roman" w:cs="Times New Roman"/>
          <w:i/>
          <w:iCs/>
          <w:kern w:val="0"/>
          <w:sz w:val="24"/>
          <w:szCs w:val="24"/>
          <w14:ligatures w14:val="none"/>
        </w:rPr>
        <w:t>Menotti v. City of Seattle</w:t>
      </w:r>
      <w:r w:rsidRPr="00800C8D">
        <w:rPr>
          <w:rFonts w:ascii="Times New Roman" w:eastAsia="Calibri" w:hAnsi="Times New Roman" w:cs="Times New Roman"/>
          <w:kern w:val="0"/>
          <w:sz w:val="24"/>
          <w:szCs w:val="24"/>
          <w14:ligatures w14:val="none"/>
        </w:rPr>
        <w:t>, 409 F.3d 1113, 1153 (9th Cir. 2005) (holding that probable cause to make an arrest was insufficient to trigger the exception in the absence of an actual arrest).</w:t>
      </w:r>
    </w:p>
    <w:p w14:paraId="1D6CF68B"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783AF554"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ab/>
        <w:t xml:space="preserve">If the court </w:t>
      </w:r>
      <w:proofErr w:type="gramStart"/>
      <w:r w:rsidRPr="00800C8D">
        <w:rPr>
          <w:rFonts w:ascii="Times New Roman" w:eastAsia="Calibri" w:hAnsi="Times New Roman" w:cs="Times New Roman"/>
          <w:kern w:val="0"/>
          <w:sz w:val="24"/>
          <w:szCs w:val="24"/>
          <w14:ligatures w14:val="none"/>
        </w:rPr>
        <w:t>is able to</w:t>
      </w:r>
      <w:proofErr w:type="gramEnd"/>
      <w:r w:rsidRPr="00800C8D">
        <w:rPr>
          <w:rFonts w:ascii="Times New Roman" w:eastAsia="Calibri" w:hAnsi="Times New Roman" w:cs="Times New Roman"/>
          <w:kern w:val="0"/>
          <w:sz w:val="24"/>
          <w:szCs w:val="24"/>
          <w14:ligatures w14:val="none"/>
        </w:rPr>
        <w:t xml:space="preserve"> determine as a matter of law that an arrest was lawful, the Committee recommends the court instruct the jury accordingly. However, when there are factual disputes about the lawfulness of an arrest, it will be necessary for the court to instruct the jury concerning the standards or elements for a lawful arrest under the facts of a particular case. </w:t>
      </w:r>
      <w:r w:rsidRPr="00800C8D">
        <w:rPr>
          <w:rFonts w:ascii="Times New Roman" w:eastAsia="Calibri" w:hAnsi="Times New Roman" w:cs="Times New Roman"/>
          <w:i/>
          <w:iCs/>
          <w:kern w:val="0"/>
          <w:sz w:val="24"/>
          <w:szCs w:val="24"/>
          <w14:ligatures w14:val="none"/>
        </w:rPr>
        <w:t>See</w:t>
      </w:r>
      <w:r w:rsidRPr="00800C8D">
        <w:rPr>
          <w:rFonts w:ascii="Times New Roman" w:eastAsia="Calibri" w:hAnsi="Times New Roman" w:cs="Times New Roman"/>
          <w:kern w:val="0"/>
          <w:sz w:val="24"/>
          <w:szCs w:val="24"/>
          <w14:ligatures w14:val="none"/>
        </w:rPr>
        <w:t xml:space="preserve"> Instruction 9.25 (Particular Rights—Fourth Amendment—Unreasonable Seizure of</w:t>
      </w:r>
    </w:p>
    <w:p w14:paraId="08E2989F"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Person—Probable Cause Arrest).</w:t>
      </w:r>
    </w:p>
    <w:p w14:paraId="7805BE09"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0F585AE8"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ab/>
        <w:t>The United States Supreme Court has held that officers may perform a warrantless breath</w:t>
      </w:r>
    </w:p>
    <w:p w14:paraId="4BA41EAB"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test as a search incident to arrest, but may not perform a warrantless blood test as a search</w:t>
      </w:r>
    </w:p>
    <w:p w14:paraId="72395C49"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 xml:space="preserve">incident to arrest. </w:t>
      </w:r>
      <w:r w:rsidRPr="00800C8D">
        <w:rPr>
          <w:rFonts w:ascii="Times New Roman" w:eastAsia="Calibri" w:hAnsi="Times New Roman" w:cs="Times New Roman"/>
          <w:i/>
          <w:iCs/>
          <w:kern w:val="0"/>
          <w:sz w:val="24"/>
          <w:szCs w:val="24"/>
          <w14:ligatures w14:val="none"/>
        </w:rPr>
        <w:t>Birchfield v. North Dakota</w:t>
      </w:r>
      <w:r w:rsidRPr="00800C8D">
        <w:rPr>
          <w:rFonts w:ascii="Times New Roman" w:eastAsia="Calibri" w:hAnsi="Times New Roman" w:cs="Times New Roman"/>
          <w:kern w:val="0"/>
          <w:sz w:val="24"/>
          <w:szCs w:val="24"/>
          <w14:ligatures w14:val="none"/>
        </w:rPr>
        <w:t>, 579 U.S. 438, 474 (2016). The Court held that a breath test incident to a drunk driving arrest is categorically included within the search-incident-to-arrest exception.</w:t>
      </w:r>
      <w:r w:rsidRPr="00800C8D">
        <w:rPr>
          <w:rFonts w:ascii="Times New Roman" w:eastAsia="Calibri" w:hAnsi="Times New Roman" w:cs="Times New Roman"/>
          <w:i/>
          <w:iCs/>
          <w:kern w:val="0"/>
          <w:sz w:val="24"/>
          <w:szCs w:val="24"/>
          <w14:ligatures w14:val="none"/>
        </w:rPr>
        <w:t xml:space="preserve"> Id.</w:t>
      </w:r>
      <w:r w:rsidRPr="00800C8D">
        <w:rPr>
          <w:rFonts w:ascii="Times New Roman" w:eastAsia="Calibri" w:hAnsi="Times New Roman" w:cs="Times New Roman"/>
          <w:kern w:val="0"/>
          <w:sz w:val="24"/>
          <w:szCs w:val="24"/>
          <w14:ligatures w14:val="none"/>
        </w:rPr>
        <w:t xml:space="preserve"> at 2176, 2179-80, 2183.  </w:t>
      </w:r>
    </w:p>
    <w:p w14:paraId="1D965861"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ab/>
      </w:r>
    </w:p>
    <w:p w14:paraId="2BC93E75" w14:textId="77777777" w:rsidR="00800C8D" w:rsidRPr="00800C8D" w:rsidRDefault="00800C8D" w:rsidP="00800C8D">
      <w:pPr>
        <w:autoSpaceDE w:val="0"/>
        <w:autoSpaceDN w:val="0"/>
        <w:adjustRightInd w:val="0"/>
        <w:spacing w:after="0" w:line="240" w:lineRule="auto"/>
        <w:ind w:firstLine="720"/>
        <w:rPr>
          <w:rFonts w:ascii="Times New Roman" w:eastAsia="Calibri" w:hAnsi="Times New Roman" w:cs="Times New Roman"/>
          <w:i/>
          <w:iCs/>
          <w:kern w:val="0"/>
          <w:sz w:val="24"/>
          <w:szCs w:val="24"/>
          <w14:ligatures w14:val="none"/>
        </w:rPr>
      </w:pPr>
      <w:r w:rsidRPr="00800C8D">
        <w:rPr>
          <w:rFonts w:ascii="Times New Roman" w:eastAsia="Calibri" w:hAnsi="Times New Roman" w:cs="Times New Roman"/>
          <w:kern w:val="0"/>
          <w:sz w:val="24"/>
          <w:szCs w:val="24"/>
          <w14:ligatures w14:val="none"/>
        </w:rPr>
        <w:t xml:space="preserve">In </w:t>
      </w:r>
      <w:r w:rsidRPr="00800C8D">
        <w:rPr>
          <w:rFonts w:ascii="Times New Roman" w:eastAsia="Calibri" w:hAnsi="Times New Roman" w:cs="Times New Roman"/>
          <w:i/>
          <w:iCs/>
          <w:kern w:val="0"/>
          <w:sz w:val="24"/>
          <w:szCs w:val="24"/>
          <w14:ligatures w14:val="none"/>
        </w:rPr>
        <w:t>Riley v. California</w:t>
      </w:r>
      <w:r w:rsidRPr="00800C8D">
        <w:rPr>
          <w:rFonts w:ascii="Times New Roman" w:eastAsia="Calibri" w:hAnsi="Times New Roman" w:cs="Times New Roman"/>
          <w:kern w:val="0"/>
          <w:sz w:val="24"/>
          <w:szCs w:val="24"/>
          <w14:ligatures w14:val="none"/>
        </w:rPr>
        <w:t>, 573 U.S. 373</w:t>
      </w:r>
      <w:r w:rsidRPr="00800C8D" w:rsidDel="00315F09">
        <w:rPr>
          <w:rFonts w:ascii="Times New Roman" w:eastAsia="Calibri" w:hAnsi="Times New Roman" w:cs="Times New Roman"/>
          <w:kern w:val="0"/>
          <w:sz w:val="24"/>
          <w:szCs w:val="24"/>
          <w14:ligatures w14:val="none"/>
        </w:rPr>
        <w:t xml:space="preserve"> </w:t>
      </w:r>
      <w:r w:rsidRPr="00800C8D">
        <w:rPr>
          <w:rFonts w:ascii="Times New Roman" w:eastAsia="Calibri" w:hAnsi="Times New Roman" w:cs="Times New Roman"/>
          <w:kern w:val="0"/>
          <w:sz w:val="24"/>
          <w:szCs w:val="24"/>
          <w14:ligatures w14:val="none"/>
        </w:rPr>
        <w:t xml:space="preserve">(2014), the Court considered the search-incident-to-arrest exception as it pertained to cell phones. The Court held that the phone itself may be </w:t>
      </w:r>
      <w:proofErr w:type="gramStart"/>
      <w:r w:rsidRPr="00800C8D">
        <w:rPr>
          <w:rFonts w:ascii="Times New Roman" w:eastAsia="Calibri" w:hAnsi="Times New Roman" w:cs="Times New Roman"/>
          <w:kern w:val="0"/>
          <w:sz w:val="24"/>
          <w:szCs w:val="24"/>
          <w14:ligatures w14:val="none"/>
        </w:rPr>
        <w:t>searched</w:t>
      </w:r>
      <w:proofErr w:type="gramEnd"/>
      <w:r w:rsidRPr="00800C8D">
        <w:rPr>
          <w:rFonts w:ascii="Times New Roman" w:eastAsia="Calibri" w:hAnsi="Times New Roman" w:cs="Times New Roman"/>
          <w:kern w:val="0"/>
          <w:sz w:val="24"/>
          <w:szCs w:val="24"/>
          <w14:ligatures w14:val="none"/>
        </w:rPr>
        <w:t xml:space="preserve"> incident to an arrest, but officers must generally secure a search warrant before conducting a search of the data stored on the cell phone. </w:t>
      </w:r>
      <w:r w:rsidRPr="00800C8D">
        <w:rPr>
          <w:rFonts w:ascii="Times New Roman" w:eastAsia="Calibri" w:hAnsi="Times New Roman" w:cs="Times New Roman"/>
          <w:i/>
          <w:iCs/>
          <w:kern w:val="0"/>
          <w:sz w:val="24"/>
          <w:szCs w:val="24"/>
          <w14:ligatures w14:val="none"/>
        </w:rPr>
        <w:t>Id</w:t>
      </w:r>
      <w:r w:rsidRPr="00800C8D">
        <w:rPr>
          <w:rFonts w:ascii="Times New Roman" w:eastAsia="Calibri" w:hAnsi="Times New Roman" w:cs="Times New Roman"/>
          <w:kern w:val="0"/>
          <w:sz w:val="24"/>
          <w:szCs w:val="24"/>
          <w14:ligatures w14:val="none"/>
        </w:rPr>
        <w:t xml:space="preserve">. at 401, 403; </w:t>
      </w:r>
      <w:r w:rsidRPr="00800C8D">
        <w:rPr>
          <w:rFonts w:ascii="Times New Roman" w:eastAsia="Calibri" w:hAnsi="Times New Roman" w:cs="Times New Roman"/>
          <w:i/>
          <w:iCs/>
          <w:kern w:val="0"/>
          <w:sz w:val="24"/>
          <w:szCs w:val="24"/>
          <w14:ligatures w14:val="none"/>
        </w:rPr>
        <w:t>Olson v. County of Grant</w:t>
      </w:r>
      <w:r w:rsidRPr="00800C8D">
        <w:rPr>
          <w:rFonts w:ascii="Times New Roman" w:eastAsia="Calibri" w:hAnsi="Times New Roman" w:cs="Times New Roman"/>
          <w:kern w:val="0"/>
          <w:sz w:val="24"/>
          <w:szCs w:val="24"/>
          <w14:ligatures w14:val="none"/>
        </w:rPr>
        <w:t xml:space="preserve">, 127 F.4th 1193, 1999 (9th Cir. 2025) (extending </w:t>
      </w:r>
      <w:r w:rsidRPr="00800C8D">
        <w:rPr>
          <w:rFonts w:ascii="Times New Roman" w:eastAsia="Calibri" w:hAnsi="Times New Roman" w:cs="Times New Roman"/>
          <w:i/>
          <w:iCs/>
          <w:kern w:val="0"/>
          <w:sz w:val="24"/>
          <w:szCs w:val="24"/>
          <w14:ligatures w14:val="none"/>
        </w:rPr>
        <w:t xml:space="preserve">Riley </w:t>
      </w:r>
      <w:r w:rsidRPr="00800C8D">
        <w:rPr>
          <w:rFonts w:ascii="Times New Roman" w:eastAsia="Calibri" w:hAnsi="Times New Roman" w:cs="Times New Roman"/>
          <w:kern w:val="0"/>
          <w:sz w:val="24"/>
          <w:szCs w:val="24"/>
          <w14:ligatures w14:val="none"/>
        </w:rPr>
        <w:t xml:space="preserve">to a phone extraction or a “phone </w:t>
      </w:r>
      <w:r w:rsidRPr="00800C8D">
        <w:rPr>
          <w:rFonts w:ascii="Times New Roman" w:eastAsia="Calibri" w:hAnsi="Times New Roman" w:cs="Times New Roman"/>
          <w:kern w:val="0"/>
          <w:sz w:val="24"/>
          <w:szCs w:val="24"/>
          <w14:ligatures w14:val="none"/>
        </w:rPr>
        <w:lastRenderedPageBreak/>
        <w:t xml:space="preserve">dump” which is typically an exact replica of the data contained on a cell phone at the time of the extraction, easily searchable and reviewable by law enforcement); </w:t>
      </w:r>
      <w:r w:rsidRPr="00800C8D">
        <w:rPr>
          <w:rFonts w:ascii="Times New Roman" w:eastAsia="Calibri" w:hAnsi="Times New Roman" w:cs="Times New Roman"/>
          <w:i/>
          <w:iCs/>
          <w:kern w:val="0"/>
          <w:sz w:val="24"/>
          <w:szCs w:val="24"/>
          <w14:ligatures w14:val="none"/>
        </w:rPr>
        <w:t>but see United States v. Payne</w:t>
      </w:r>
      <w:r w:rsidRPr="00800C8D">
        <w:rPr>
          <w:rFonts w:ascii="Times New Roman" w:eastAsia="Calibri" w:hAnsi="Times New Roman" w:cs="Times New Roman"/>
          <w:kern w:val="0"/>
          <w:sz w:val="24"/>
          <w:szCs w:val="24"/>
          <w14:ligatures w14:val="none"/>
        </w:rPr>
        <w:t xml:space="preserve">, 99 F.4th 495, 507 (9th Cir. 2024) (declining to extend </w:t>
      </w:r>
      <w:r w:rsidRPr="00800C8D">
        <w:rPr>
          <w:rFonts w:ascii="Times New Roman" w:eastAsia="Calibri" w:hAnsi="Times New Roman" w:cs="Times New Roman"/>
          <w:i/>
          <w:iCs/>
          <w:kern w:val="0"/>
          <w:sz w:val="24"/>
          <w:szCs w:val="24"/>
          <w14:ligatures w14:val="none"/>
        </w:rPr>
        <w:t xml:space="preserve">Riley </w:t>
      </w:r>
      <w:r w:rsidRPr="00800C8D">
        <w:rPr>
          <w:rFonts w:ascii="Times New Roman" w:eastAsia="Calibri" w:hAnsi="Times New Roman" w:cs="Times New Roman"/>
          <w:kern w:val="0"/>
          <w:sz w:val="24"/>
          <w:szCs w:val="24"/>
          <w14:ligatures w14:val="none"/>
        </w:rPr>
        <w:t>to cell phone data</w:t>
      </w:r>
    </w:p>
    <w:p w14:paraId="626DD157"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 xml:space="preserve">belonging to parolees).    </w:t>
      </w:r>
    </w:p>
    <w:p w14:paraId="2A04D158"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ab/>
      </w:r>
    </w:p>
    <w:p w14:paraId="15DFF589" w14:textId="77777777" w:rsidR="00800C8D" w:rsidRPr="00800C8D" w:rsidRDefault="00800C8D" w:rsidP="00800C8D">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A plaintiff alleging a § 1983 claim based on an unreasonable search in violation</w:t>
      </w:r>
    </w:p>
    <w:p w14:paraId="4BDB5712"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 xml:space="preserve">of the Fourth Amendment has the burden of proving at trial that an asserted exception to the warrant requirement did not apply. </w:t>
      </w:r>
      <w:r w:rsidRPr="00800C8D">
        <w:rPr>
          <w:rFonts w:ascii="Times New Roman" w:eastAsia="Calibri" w:hAnsi="Times New Roman" w:cs="Times New Roman"/>
          <w:i/>
          <w:iCs/>
          <w:kern w:val="0"/>
          <w:sz w:val="24"/>
          <w:szCs w:val="24"/>
          <w14:ligatures w14:val="none"/>
        </w:rPr>
        <w:t>Larez v. Holcomb</w:t>
      </w:r>
      <w:r w:rsidRPr="00800C8D">
        <w:rPr>
          <w:rFonts w:ascii="Times New Roman" w:eastAsia="Calibri" w:hAnsi="Times New Roman" w:cs="Times New Roman"/>
          <w:kern w:val="0"/>
          <w:sz w:val="24"/>
          <w:szCs w:val="24"/>
          <w14:ligatures w14:val="none"/>
        </w:rPr>
        <w:t xml:space="preserve">, 16 F.3d 1513, 1517-18 (9th Cir. 1994);  </w:t>
      </w:r>
      <w:r w:rsidRPr="00800C8D">
        <w:rPr>
          <w:rFonts w:ascii="Times New Roman" w:eastAsia="Calibri" w:hAnsi="Times New Roman" w:cs="Times New Roman"/>
          <w:i/>
          <w:iCs/>
          <w:kern w:val="0"/>
          <w:sz w:val="24"/>
          <w:szCs w:val="24"/>
          <w14:ligatures w14:val="none"/>
        </w:rPr>
        <w:t>see Mueller v. Auker</w:t>
      </w:r>
      <w:r w:rsidRPr="00800C8D">
        <w:rPr>
          <w:rFonts w:ascii="Times New Roman" w:eastAsia="Calibri" w:hAnsi="Times New Roman" w:cs="Times New Roman"/>
          <w:kern w:val="0"/>
          <w:sz w:val="24"/>
          <w:szCs w:val="24"/>
          <w14:ligatures w14:val="none"/>
        </w:rPr>
        <w:t xml:space="preserve">, 700 F.3d 1180, 1193 (9th Cir. 2012) (placing the burden on the plaintiff to establish an absence of imminent danger in a claim of interference with a parent-child relationship);  </w:t>
      </w:r>
      <w:r w:rsidRPr="00800C8D">
        <w:rPr>
          <w:rFonts w:ascii="Times New Roman" w:eastAsia="Calibri" w:hAnsi="Times New Roman" w:cs="Times New Roman"/>
          <w:i/>
          <w:iCs/>
          <w:kern w:val="0"/>
          <w:sz w:val="24"/>
          <w:szCs w:val="24"/>
          <w14:ligatures w14:val="none"/>
        </w:rPr>
        <w:t>Pavao v. Pagay</w:t>
      </w:r>
      <w:r w:rsidRPr="00800C8D">
        <w:rPr>
          <w:rFonts w:ascii="Times New Roman" w:eastAsia="Calibri" w:hAnsi="Times New Roman" w:cs="Times New Roman"/>
          <w:kern w:val="0"/>
          <w:sz w:val="24"/>
          <w:szCs w:val="24"/>
          <w14:ligatures w14:val="none"/>
        </w:rPr>
        <w:t xml:space="preserve">, 307 F.3d 915, 919 (9th Cir. 2002) (reaffirming that a plaintiff in § 1983 action “carries the ultimate burden of establishing each element of his or her claim, including lack of consent [to search]”). </w:t>
      </w:r>
    </w:p>
    <w:p w14:paraId="38A82043" w14:textId="77777777" w:rsidR="00800C8D" w:rsidRPr="00800C8D" w:rsidRDefault="00800C8D" w:rsidP="00800C8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800C8D">
        <w:rPr>
          <w:rFonts w:ascii="Times New Roman" w:eastAsia="Calibri" w:hAnsi="Times New Roman" w:cs="Times New Roman"/>
          <w:kern w:val="0"/>
          <w:sz w:val="24"/>
          <w:szCs w:val="24"/>
          <w14:ligatures w14:val="none"/>
        </w:rPr>
        <w:tab/>
      </w:r>
    </w:p>
    <w:p w14:paraId="7446A077" w14:textId="24EA7233" w:rsidR="00FE7F82" w:rsidRPr="00315F09" w:rsidRDefault="00800C8D" w:rsidP="00800C8D">
      <w:pPr>
        <w:spacing w:after="0" w:line="240" w:lineRule="auto"/>
        <w:jc w:val="right"/>
        <w:rPr>
          <w:rFonts w:ascii="Times New Roman" w:hAnsi="Times New Roman" w:cs="Times New Roman"/>
          <w:i/>
          <w:iCs/>
          <w:sz w:val="24"/>
          <w:szCs w:val="24"/>
        </w:rPr>
      </w:pPr>
      <w:r w:rsidRPr="00800C8D">
        <w:rPr>
          <w:rFonts w:ascii="Times New Roman" w:eastAsia="Calibri" w:hAnsi="Times New Roman" w:cs="Times New Roman"/>
          <w:i/>
          <w:iCs/>
          <w:kern w:val="0"/>
          <w:sz w:val="24"/>
          <w:szCs w:val="24"/>
          <w14:ligatures w14:val="none"/>
        </w:rPr>
        <w:tab/>
        <w:t>Revised March 2025</w:t>
      </w:r>
    </w:p>
    <w:sectPr w:rsidR="00FE7F82" w:rsidRPr="00315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15F09"/>
    <w:rsid w:val="001F5CAF"/>
    <w:rsid w:val="00315F09"/>
    <w:rsid w:val="00335E92"/>
    <w:rsid w:val="007D6FBC"/>
    <w:rsid w:val="00800C8D"/>
    <w:rsid w:val="00887257"/>
    <w:rsid w:val="00993F35"/>
    <w:rsid w:val="009A58DE"/>
    <w:rsid w:val="00BE0F07"/>
    <w:rsid w:val="00C61CE0"/>
    <w:rsid w:val="00C720CE"/>
    <w:rsid w:val="00CD6987"/>
    <w:rsid w:val="00CE5ABF"/>
    <w:rsid w:val="00E25A46"/>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4455"/>
  <w15:docId w15:val="{DCB57F19-FCBD-43A4-A2B4-E56FB617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15F09"/>
    <w:pPr>
      <w:spacing w:after="0" w:line="240" w:lineRule="auto"/>
    </w:pPr>
  </w:style>
  <w:style w:type="paragraph" w:styleId="BodyText">
    <w:name w:val="Body Text"/>
    <w:basedOn w:val="Normal"/>
    <w:link w:val="BodyTextChar"/>
    <w:uiPriority w:val="99"/>
    <w:semiHidden/>
    <w:unhideWhenUsed/>
    <w:rsid w:val="00CE5ABF"/>
    <w:pPr>
      <w:spacing w:after="120"/>
    </w:pPr>
  </w:style>
  <w:style w:type="character" w:customStyle="1" w:styleId="BodyTextChar">
    <w:name w:val="Body Text Char"/>
    <w:basedOn w:val="DefaultParagraphFont"/>
    <w:link w:val="BodyText"/>
    <w:uiPriority w:val="99"/>
    <w:semiHidden/>
    <w:rsid w:val="00CE5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9</cp:revision>
  <dcterms:created xsi:type="dcterms:W3CDTF">2024-02-05T18:25:00Z</dcterms:created>
  <dcterms:modified xsi:type="dcterms:W3CDTF">2026-02-26T20:10:00Z</dcterms:modified>
</cp:coreProperties>
</file>