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4CAAE" w14:textId="76E5B763" w:rsidR="00465DAF" w:rsidRPr="00465DAF" w:rsidRDefault="00465DAF" w:rsidP="00465DAF">
      <w:pPr>
        <w:autoSpaceDE w:val="0"/>
        <w:autoSpaceDN w:val="0"/>
        <w:adjustRightInd w:val="0"/>
        <w:spacing w:after="0" w:line="240" w:lineRule="auto"/>
        <w:jc w:val="center"/>
        <w:rPr>
          <w:rFonts w:ascii="Times New Roman" w:hAnsi="Times New Roman" w:cs="Times New Roman"/>
          <w:b/>
          <w:bCs/>
          <w:sz w:val="24"/>
          <w:szCs w:val="24"/>
        </w:rPr>
      </w:pPr>
      <w:r w:rsidRPr="00465DAF">
        <w:rPr>
          <w:rFonts w:ascii="Times New Roman" w:hAnsi="Times New Roman" w:cs="Times New Roman"/>
          <w:sz w:val="24"/>
          <w:szCs w:val="24"/>
          <w:lang w:val="en-CA"/>
        </w:rPr>
        <w:fldChar w:fldCharType="begin"/>
      </w:r>
      <w:r w:rsidRPr="00465DAF">
        <w:rPr>
          <w:rFonts w:ascii="Times New Roman" w:hAnsi="Times New Roman" w:cs="Times New Roman"/>
          <w:sz w:val="24"/>
          <w:szCs w:val="24"/>
          <w:lang w:val="en-CA"/>
        </w:rPr>
        <w:instrText xml:space="preserve"> SEQ CHAPTER \h \r 1</w:instrText>
      </w:r>
      <w:r w:rsidRPr="00465DAF">
        <w:rPr>
          <w:rFonts w:ascii="Times New Roman" w:hAnsi="Times New Roman" w:cs="Times New Roman"/>
          <w:sz w:val="24"/>
          <w:szCs w:val="24"/>
          <w:lang w:val="en-CA"/>
        </w:rPr>
        <w:fldChar w:fldCharType="end"/>
      </w:r>
      <w:proofErr w:type="gramStart"/>
      <w:r w:rsidRPr="00465DAF">
        <w:rPr>
          <w:rFonts w:ascii="Times New Roman" w:hAnsi="Times New Roman" w:cs="Times New Roman"/>
          <w:b/>
          <w:bCs/>
          <w:sz w:val="24"/>
          <w:szCs w:val="24"/>
        </w:rPr>
        <w:t>9.15  Particular</w:t>
      </w:r>
      <w:proofErr w:type="gramEnd"/>
      <w:r w:rsidRPr="00465DAF">
        <w:rPr>
          <w:rFonts w:ascii="Times New Roman" w:hAnsi="Times New Roman" w:cs="Times New Roman"/>
          <w:b/>
          <w:bCs/>
          <w:sz w:val="24"/>
          <w:szCs w:val="24"/>
        </w:rPr>
        <w:t xml:space="preserve"> Rights—Fourth Amendment—Unreasonable Search—Exception To Warrant Requirement—Consent</w:t>
      </w:r>
    </w:p>
    <w:p w14:paraId="1C204CF4"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r>
    </w:p>
    <w:p w14:paraId="1E34FB05"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 xml:space="preserve">In general, a search of a [person] [residence] [vehicle]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proofErr w:type="gramStart"/>
      <w:r w:rsidRPr="00465DAF">
        <w:rPr>
          <w:rFonts w:ascii="Times New Roman" w:hAnsi="Times New Roman" w:cs="Times New Roman"/>
          <w:sz w:val="24"/>
          <w:szCs w:val="24"/>
        </w:rPr>
        <w:t>required</w:t>
      </w:r>
      <w:proofErr w:type="gramEnd"/>
      <w:r w:rsidRPr="00465DAF">
        <w:rPr>
          <w:rFonts w:ascii="Times New Roman" w:hAnsi="Times New Roman" w:cs="Times New Roman"/>
          <w:sz w:val="24"/>
          <w:szCs w:val="24"/>
        </w:rPr>
        <w:t xml:space="preserve"> and a search is reasonable if [the person] [a person in lawful possession of the area to be searched] knowingly and voluntarily consents to the search [and there is not any express refusal to consent by another person who is physically present and also in lawful possession of the area to be searched]. </w:t>
      </w:r>
    </w:p>
    <w:p w14:paraId="718EA224"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07EF292E"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In determining whether a consent to search is voluntary, consider all of the circumstances, including:</w:t>
      </w:r>
    </w:p>
    <w:p w14:paraId="7D0B84FA"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3DF95EA9" w14:textId="77777777" w:rsidR="00465DAF" w:rsidRPr="00465DAF" w:rsidRDefault="00465DAF" w:rsidP="00465DAF">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465DAF">
        <w:rPr>
          <w:rFonts w:ascii="Times New Roman" w:hAnsi="Times New Roman" w:cs="Times New Roman"/>
          <w:sz w:val="24"/>
          <w:szCs w:val="24"/>
        </w:rPr>
        <w:t>(1)</w:t>
      </w:r>
      <w:r w:rsidRPr="00465DAF">
        <w:rPr>
          <w:rFonts w:ascii="Times New Roman" w:hAnsi="Times New Roman" w:cs="Times New Roman"/>
          <w:sz w:val="24"/>
          <w:szCs w:val="24"/>
        </w:rPr>
        <w:tab/>
        <w:t xml:space="preserve">whether the consenting person was in </w:t>
      </w:r>
      <w:proofErr w:type="gramStart"/>
      <w:r w:rsidRPr="00465DAF">
        <w:rPr>
          <w:rFonts w:ascii="Times New Roman" w:hAnsi="Times New Roman" w:cs="Times New Roman"/>
          <w:sz w:val="24"/>
          <w:szCs w:val="24"/>
        </w:rPr>
        <w:t>custody;</w:t>
      </w:r>
      <w:proofErr w:type="gramEnd"/>
    </w:p>
    <w:p w14:paraId="22B14C58"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06CA825F" w14:textId="77777777" w:rsidR="00465DAF" w:rsidRPr="00465DAF" w:rsidRDefault="00465DAF" w:rsidP="00465DAF">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465DAF">
        <w:rPr>
          <w:rFonts w:ascii="Times New Roman" w:hAnsi="Times New Roman" w:cs="Times New Roman"/>
          <w:sz w:val="24"/>
          <w:szCs w:val="24"/>
        </w:rPr>
        <w:t>(2)</w:t>
      </w:r>
      <w:r w:rsidRPr="00465DAF">
        <w:rPr>
          <w:rFonts w:ascii="Times New Roman" w:hAnsi="Times New Roman" w:cs="Times New Roman"/>
          <w:sz w:val="24"/>
          <w:szCs w:val="24"/>
        </w:rPr>
        <w:tab/>
        <w:t xml:space="preserve">whether the officers’ guns were </w:t>
      </w:r>
      <w:proofErr w:type="gramStart"/>
      <w:r w:rsidRPr="00465DAF">
        <w:rPr>
          <w:rFonts w:ascii="Times New Roman" w:hAnsi="Times New Roman" w:cs="Times New Roman"/>
          <w:sz w:val="24"/>
          <w:szCs w:val="24"/>
        </w:rPr>
        <w:t>drawn;</w:t>
      </w:r>
      <w:proofErr w:type="gramEnd"/>
    </w:p>
    <w:p w14:paraId="21F8250B"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47B1E91E" w14:textId="77777777" w:rsidR="00465DAF" w:rsidRPr="00465DAF" w:rsidRDefault="00465DAF" w:rsidP="00465DAF">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465DAF">
        <w:rPr>
          <w:rFonts w:ascii="Times New Roman" w:hAnsi="Times New Roman" w:cs="Times New Roman"/>
          <w:sz w:val="24"/>
          <w:szCs w:val="24"/>
        </w:rPr>
        <w:tab/>
        <w:t>(3)</w:t>
      </w:r>
      <w:r w:rsidRPr="00465DAF">
        <w:rPr>
          <w:rFonts w:ascii="Times New Roman" w:hAnsi="Times New Roman" w:cs="Times New Roman"/>
          <w:sz w:val="24"/>
          <w:szCs w:val="24"/>
        </w:rPr>
        <w:tab/>
        <w:t xml:space="preserve">whether </w:t>
      </w:r>
      <w:r w:rsidRPr="00921DE6">
        <w:rPr>
          <w:rFonts w:ascii="Times New Roman" w:hAnsi="Times New Roman" w:cs="Times New Roman"/>
          <w:i/>
          <w:iCs/>
          <w:sz w:val="24"/>
          <w:szCs w:val="24"/>
        </w:rPr>
        <w:t>Miranda</w:t>
      </w:r>
      <w:r w:rsidRPr="00465DAF">
        <w:rPr>
          <w:rFonts w:ascii="Times New Roman" w:hAnsi="Times New Roman" w:cs="Times New Roman"/>
          <w:sz w:val="24"/>
          <w:szCs w:val="24"/>
        </w:rPr>
        <w:t xml:space="preserve"> warnings were </w:t>
      </w:r>
      <w:proofErr w:type="gramStart"/>
      <w:r w:rsidRPr="00465DAF">
        <w:rPr>
          <w:rFonts w:ascii="Times New Roman" w:hAnsi="Times New Roman" w:cs="Times New Roman"/>
          <w:sz w:val="24"/>
          <w:szCs w:val="24"/>
        </w:rPr>
        <w:t>given;</w:t>
      </w:r>
      <w:proofErr w:type="gramEnd"/>
    </w:p>
    <w:p w14:paraId="0F4900BD"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7EAE0828" w14:textId="77777777" w:rsidR="00465DAF" w:rsidRPr="00465DAF" w:rsidRDefault="00465DAF" w:rsidP="00465DAF">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465DAF">
        <w:rPr>
          <w:rFonts w:ascii="Times New Roman" w:hAnsi="Times New Roman" w:cs="Times New Roman"/>
          <w:sz w:val="24"/>
          <w:szCs w:val="24"/>
        </w:rPr>
        <w:t>(4)</w:t>
      </w:r>
      <w:r w:rsidRPr="00465DAF">
        <w:rPr>
          <w:rFonts w:ascii="Times New Roman" w:hAnsi="Times New Roman" w:cs="Times New Roman"/>
          <w:sz w:val="24"/>
          <w:szCs w:val="24"/>
        </w:rPr>
        <w:tab/>
        <w:t xml:space="preserve">whether the consenting person was told [he] [she] had the right to refuse a request to </w:t>
      </w:r>
      <w:proofErr w:type="gramStart"/>
      <w:r w:rsidRPr="00465DAF">
        <w:rPr>
          <w:rFonts w:ascii="Times New Roman" w:hAnsi="Times New Roman" w:cs="Times New Roman"/>
          <w:sz w:val="24"/>
          <w:szCs w:val="24"/>
        </w:rPr>
        <w:t>search;</w:t>
      </w:r>
      <w:proofErr w:type="gramEnd"/>
    </w:p>
    <w:p w14:paraId="757BDAE4"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2B89607B" w14:textId="77777777" w:rsidR="00465DAF" w:rsidRPr="00465DAF" w:rsidRDefault="00465DAF" w:rsidP="00465DAF">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465DAF">
        <w:rPr>
          <w:rFonts w:ascii="Times New Roman" w:hAnsi="Times New Roman" w:cs="Times New Roman"/>
          <w:sz w:val="24"/>
          <w:szCs w:val="24"/>
        </w:rPr>
        <w:t>(5)</w:t>
      </w:r>
      <w:r w:rsidRPr="00465DAF">
        <w:rPr>
          <w:rFonts w:ascii="Times New Roman" w:hAnsi="Times New Roman" w:cs="Times New Roman"/>
          <w:sz w:val="24"/>
          <w:szCs w:val="24"/>
        </w:rPr>
        <w:tab/>
        <w:t xml:space="preserve">whether the consenting person was told a search warrant could be </w:t>
      </w:r>
      <w:proofErr w:type="gramStart"/>
      <w:r w:rsidRPr="00465DAF">
        <w:rPr>
          <w:rFonts w:ascii="Times New Roman" w:hAnsi="Times New Roman" w:cs="Times New Roman"/>
          <w:sz w:val="24"/>
          <w:szCs w:val="24"/>
        </w:rPr>
        <w:t>obtained;</w:t>
      </w:r>
      <w:proofErr w:type="gramEnd"/>
    </w:p>
    <w:p w14:paraId="504707B4"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4FFF66FF" w14:textId="77777777" w:rsidR="00465DAF" w:rsidRPr="00465DAF" w:rsidRDefault="00465DAF" w:rsidP="00465DAF">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465DAF">
        <w:rPr>
          <w:rFonts w:ascii="Times New Roman" w:hAnsi="Times New Roman" w:cs="Times New Roman"/>
          <w:sz w:val="24"/>
          <w:szCs w:val="24"/>
        </w:rPr>
        <w:t>(6)</w:t>
      </w:r>
      <w:r w:rsidRPr="00465DAF">
        <w:rPr>
          <w:rFonts w:ascii="Times New Roman" w:hAnsi="Times New Roman" w:cs="Times New Roman"/>
          <w:sz w:val="24"/>
          <w:szCs w:val="24"/>
        </w:rPr>
        <w:tab/>
        <w:t>[</w:t>
      </w:r>
      <w:r w:rsidRPr="00465DAF">
        <w:rPr>
          <w:rFonts w:ascii="Times New Roman" w:hAnsi="Times New Roman" w:cs="Times New Roman"/>
          <w:i/>
          <w:iCs/>
          <w:sz w:val="24"/>
          <w:szCs w:val="24"/>
          <w:u w:val="single"/>
        </w:rPr>
        <w:t>any other circumstances applicable to the particular case</w:t>
      </w:r>
      <w:r w:rsidRPr="00465DAF">
        <w:rPr>
          <w:rFonts w:ascii="Times New Roman" w:hAnsi="Times New Roman" w:cs="Times New Roman"/>
          <w:sz w:val="24"/>
          <w:szCs w:val="24"/>
        </w:rPr>
        <w:t>].</w:t>
      </w:r>
    </w:p>
    <w:p w14:paraId="141F1FFA"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744F3861" w14:textId="77777777" w:rsidR="00736B60" w:rsidRPr="00736B60" w:rsidRDefault="00465DAF" w:rsidP="00736B60">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r>
      <w:r w:rsidR="00736B60" w:rsidRPr="00736B60">
        <w:rPr>
          <w:rFonts w:ascii="Times New Roman" w:hAnsi="Times New Roman" w:cs="Times New Roman"/>
          <w:i/>
          <w:iCs/>
          <w:sz w:val="24"/>
          <w:szCs w:val="24"/>
        </w:rPr>
        <w:t>Miranda</w:t>
      </w:r>
      <w:r w:rsidR="00736B60" w:rsidRPr="00736B60">
        <w:rPr>
          <w:rFonts w:ascii="Times New Roman" w:hAnsi="Times New Roman" w:cs="Times New Roman"/>
          <w:sz w:val="24"/>
          <w:szCs w:val="24"/>
        </w:rPr>
        <w:t xml:space="preserve"> warnings consist of advising a criminal suspect that he has the right to remain silent, that anything he says can be used against him in a court of law, that he has the right to the presence of an attorney, and that if he cannot afford an </w:t>
      </w:r>
      <w:proofErr w:type="gramStart"/>
      <w:r w:rsidR="00736B60" w:rsidRPr="00736B60">
        <w:rPr>
          <w:rFonts w:ascii="Times New Roman" w:hAnsi="Times New Roman" w:cs="Times New Roman"/>
          <w:sz w:val="24"/>
          <w:szCs w:val="24"/>
        </w:rPr>
        <w:t>attorney</w:t>
      </w:r>
      <w:proofErr w:type="gramEnd"/>
      <w:r w:rsidR="00736B60" w:rsidRPr="00736B60">
        <w:rPr>
          <w:rFonts w:ascii="Times New Roman" w:hAnsi="Times New Roman" w:cs="Times New Roman"/>
          <w:sz w:val="24"/>
          <w:szCs w:val="24"/>
        </w:rPr>
        <w:t xml:space="preserve"> one will be appointed for him prior to any questioning if he so desires.</w:t>
      </w:r>
    </w:p>
    <w:p w14:paraId="449EB567" w14:textId="77777777" w:rsidR="00736B60" w:rsidRDefault="00736B60" w:rsidP="00465DAF">
      <w:pPr>
        <w:autoSpaceDE w:val="0"/>
        <w:autoSpaceDN w:val="0"/>
        <w:adjustRightInd w:val="0"/>
        <w:spacing w:after="0" w:line="240" w:lineRule="auto"/>
        <w:rPr>
          <w:rFonts w:ascii="Times New Roman" w:hAnsi="Times New Roman" w:cs="Times New Roman"/>
          <w:sz w:val="24"/>
          <w:szCs w:val="24"/>
        </w:rPr>
      </w:pPr>
    </w:p>
    <w:p w14:paraId="091A7D69" w14:textId="44D54401" w:rsidR="00465DAF" w:rsidRPr="00465DAF" w:rsidRDefault="00465DAF" w:rsidP="00921DE6">
      <w:pPr>
        <w:autoSpaceDE w:val="0"/>
        <w:autoSpaceDN w:val="0"/>
        <w:adjustRightInd w:val="0"/>
        <w:spacing w:after="0" w:line="240" w:lineRule="auto"/>
        <w:ind w:firstLine="720"/>
        <w:rPr>
          <w:rFonts w:ascii="Times New Roman" w:hAnsi="Times New Roman" w:cs="Times New Roman"/>
          <w:sz w:val="24"/>
          <w:szCs w:val="24"/>
        </w:rPr>
      </w:pPr>
      <w:r w:rsidRPr="00465DAF">
        <w:rPr>
          <w:rFonts w:ascii="Times New Roman" w:hAnsi="Times New Roman" w:cs="Times New Roman"/>
          <w:sz w:val="24"/>
          <w:szCs w:val="24"/>
        </w:rPr>
        <w:t>In order to prove the search in this case was unreasonable, the plaintiff must prove by a preponderance of the evidence that this exception to the warrant requirement does not apply.</w:t>
      </w:r>
    </w:p>
    <w:p w14:paraId="5849D27A"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231C680A" w14:textId="77777777" w:rsidR="00465DAF" w:rsidRPr="00465DAF" w:rsidRDefault="00465DAF" w:rsidP="00465DAF">
      <w:pPr>
        <w:autoSpaceDE w:val="0"/>
        <w:autoSpaceDN w:val="0"/>
        <w:adjustRightInd w:val="0"/>
        <w:spacing w:after="0" w:line="240" w:lineRule="auto"/>
        <w:jc w:val="center"/>
        <w:rPr>
          <w:rFonts w:ascii="Times New Roman" w:hAnsi="Times New Roman" w:cs="Times New Roman"/>
          <w:sz w:val="24"/>
          <w:szCs w:val="24"/>
        </w:rPr>
      </w:pPr>
      <w:r w:rsidRPr="00465DAF">
        <w:rPr>
          <w:rFonts w:ascii="Times New Roman" w:hAnsi="Times New Roman" w:cs="Times New Roman"/>
          <w:b/>
          <w:bCs/>
          <w:sz w:val="24"/>
          <w:szCs w:val="24"/>
        </w:rPr>
        <w:t>Comment</w:t>
      </w:r>
    </w:p>
    <w:p w14:paraId="13D019AF"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3175FE14"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 xml:space="preserve">Use this instruction only in conjunction with the applicable </w:t>
      </w:r>
      <w:proofErr w:type="gramStart"/>
      <w:r w:rsidRPr="00465DAF">
        <w:rPr>
          <w:rFonts w:ascii="Times New Roman" w:hAnsi="Times New Roman" w:cs="Times New Roman"/>
          <w:sz w:val="24"/>
          <w:szCs w:val="24"/>
        </w:rPr>
        <w:t>elements</w:t>
      </w:r>
      <w:proofErr w:type="gramEnd"/>
      <w:r w:rsidRPr="00465DAF">
        <w:rPr>
          <w:rFonts w:ascii="Times New Roman" w:hAnsi="Times New Roman" w:cs="Times New Roman"/>
          <w:sz w:val="24"/>
          <w:szCs w:val="24"/>
        </w:rPr>
        <w:t xml:space="preserve"> instructions, Instructions 9.3–9.8 and in conjunction with Instruction 9.12 (Particular Rights—Fourth Amendment —Unreasonable Search—Generally).</w:t>
      </w:r>
    </w:p>
    <w:p w14:paraId="16A12540"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3F1ED5E0" w14:textId="37687C2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 xml:space="preserve">It is a well-settled exception to the warrant requirement that an “individual may waive his Fourth Amendment rights by giving voluntary and intelligent consent to a warrantless search of his person, property, or premises.”  </w:t>
      </w:r>
      <w:r w:rsidRPr="00465DAF">
        <w:rPr>
          <w:rFonts w:ascii="Times New Roman" w:hAnsi="Times New Roman" w:cs="Times New Roman"/>
          <w:i/>
          <w:iCs/>
          <w:sz w:val="24"/>
          <w:szCs w:val="24"/>
        </w:rPr>
        <w:t>United States v. Cormier</w:t>
      </w:r>
      <w:r w:rsidRPr="00465DAF">
        <w:rPr>
          <w:rFonts w:ascii="Times New Roman" w:hAnsi="Times New Roman" w:cs="Times New Roman"/>
          <w:sz w:val="24"/>
          <w:szCs w:val="24"/>
        </w:rPr>
        <w:t xml:space="preserve">, 220 F.3d 1103, 1112 (9th Cir. 2000); </w:t>
      </w:r>
      <w:r w:rsidRPr="00465DAF">
        <w:rPr>
          <w:rFonts w:ascii="Times New Roman" w:hAnsi="Times New Roman" w:cs="Times New Roman"/>
          <w:i/>
          <w:iCs/>
          <w:sz w:val="24"/>
          <w:szCs w:val="24"/>
        </w:rPr>
        <w:t>see</w:t>
      </w:r>
      <w:r w:rsidRPr="00465DAF">
        <w:rPr>
          <w:rFonts w:ascii="Times New Roman" w:hAnsi="Times New Roman" w:cs="Times New Roman"/>
          <w:sz w:val="24"/>
          <w:szCs w:val="24"/>
        </w:rPr>
        <w:t xml:space="preserve"> </w:t>
      </w:r>
      <w:r w:rsidRPr="00465DAF">
        <w:rPr>
          <w:rFonts w:ascii="Times New Roman" w:hAnsi="Times New Roman" w:cs="Times New Roman"/>
          <w:i/>
          <w:iCs/>
          <w:sz w:val="24"/>
          <w:szCs w:val="24"/>
        </w:rPr>
        <w:t>also Ohio v. Robinette</w:t>
      </w:r>
      <w:r w:rsidRPr="00465DAF">
        <w:rPr>
          <w:rFonts w:ascii="Times New Roman" w:hAnsi="Times New Roman" w:cs="Times New Roman"/>
          <w:sz w:val="24"/>
          <w:szCs w:val="24"/>
        </w:rPr>
        <w:t xml:space="preserve">, 519 U.S. 33, 39-40 (1996).  Whether a consent to search was </w:t>
      </w:r>
      <w:r w:rsidRPr="00465DAF">
        <w:rPr>
          <w:rFonts w:ascii="Times New Roman" w:hAnsi="Times New Roman" w:cs="Times New Roman"/>
          <w:sz w:val="24"/>
          <w:szCs w:val="24"/>
        </w:rPr>
        <w:lastRenderedPageBreak/>
        <w:t xml:space="preserve">voluntarily given is a question of fact to be determined from the </w:t>
      </w:r>
      <w:r w:rsidR="00736B60">
        <w:rPr>
          <w:rFonts w:ascii="Times New Roman" w:hAnsi="Times New Roman" w:cs="Times New Roman"/>
          <w:sz w:val="24"/>
          <w:szCs w:val="24"/>
        </w:rPr>
        <w:t>“</w:t>
      </w:r>
      <w:r w:rsidRPr="00465DAF">
        <w:rPr>
          <w:rFonts w:ascii="Times New Roman" w:hAnsi="Times New Roman" w:cs="Times New Roman"/>
          <w:sz w:val="24"/>
          <w:szCs w:val="24"/>
        </w:rPr>
        <w:t xml:space="preserve">totality of all the circumstances.” </w:t>
      </w:r>
      <w:r w:rsidR="00736B60" w:rsidRPr="00736B60">
        <w:rPr>
          <w:rFonts w:ascii="Times New Roman" w:hAnsi="Times New Roman" w:cs="Times New Roman"/>
          <w:i/>
          <w:iCs/>
          <w:sz w:val="24"/>
          <w:szCs w:val="24"/>
        </w:rPr>
        <w:t>United States v. Taylor</w:t>
      </w:r>
      <w:r w:rsidR="00736B60" w:rsidRPr="00736B60">
        <w:rPr>
          <w:rFonts w:ascii="Times New Roman" w:hAnsi="Times New Roman" w:cs="Times New Roman"/>
          <w:sz w:val="24"/>
          <w:szCs w:val="24"/>
        </w:rPr>
        <w:t>, 60 F.4th 1233, 1243 (9th Cir. 2023)</w:t>
      </w:r>
      <w:r w:rsidRPr="00465DAF">
        <w:rPr>
          <w:rFonts w:ascii="Times New Roman" w:hAnsi="Times New Roman" w:cs="Times New Roman"/>
          <w:sz w:val="24"/>
          <w:szCs w:val="24"/>
        </w:rPr>
        <w:t xml:space="preserve"> (quoting </w:t>
      </w:r>
      <w:r w:rsidRPr="00465DAF">
        <w:rPr>
          <w:rFonts w:ascii="Times New Roman" w:hAnsi="Times New Roman" w:cs="Times New Roman"/>
          <w:i/>
          <w:iCs/>
          <w:sz w:val="24"/>
          <w:szCs w:val="24"/>
        </w:rPr>
        <w:t>Schneckloth v. Bustamonte</w:t>
      </w:r>
      <w:r w:rsidRPr="00465DAF">
        <w:rPr>
          <w:rFonts w:ascii="Times New Roman" w:hAnsi="Times New Roman" w:cs="Times New Roman"/>
          <w:sz w:val="24"/>
          <w:szCs w:val="24"/>
        </w:rPr>
        <w:t xml:space="preserve">, 412 U.S. 218, 227 (1973)).  The Ninth Circuit considers five factors in determining voluntariness, which have been incorporated into the above instruction. </w:t>
      </w:r>
      <w:r w:rsidRPr="00465DAF">
        <w:rPr>
          <w:rFonts w:ascii="Times New Roman" w:hAnsi="Times New Roman" w:cs="Times New Roman"/>
          <w:i/>
          <w:iCs/>
          <w:sz w:val="24"/>
          <w:szCs w:val="24"/>
        </w:rPr>
        <w:t>See, e.g.</w:t>
      </w:r>
      <w:r w:rsidRPr="00465DAF">
        <w:rPr>
          <w:rFonts w:ascii="Times New Roman" w:hAnsi="Times New Roman" w:cs="Times New Roman"/>
          <w:sz w:val="24"/>
          <w:szCs w:val="24"/>
        </w:rPr>
        <w:t>,</w:t>
      </w:r>
      <w:r w:rsidRPr="00465DAF">
        <w:rPr>
          <w:rFonts w:ascii="Times New Roman" w:hAnsi="Times New Roman" w:cs="Times New Roman"/>
          <w:i/>
          <w:iCs/>
          <w:sz w:val="24"/>
          <w:szCs w:val="24"/>
        </w:rPr>
        <w:t xml:space="preserve"> Liberal v. Estrada</w:t>
      </w:r>
      <w:r w:rsidRPr="00465DAF">
        <w:rPr>
          <w:rFonts w:ascii="Times New Roman" w:hAnsi="Times New Roman" w:cs="Times New Roman"/>
          <w:sz w:val="24"/>
          <w:szCs w:val="24"/>
        </w:rPr>
        <w:t>, 632 F.3d 1064, 1082 (9th Cir. 2011) (applying five-factor test for voluntariness in § 1983 case).  “No one factor is determinative in the equation” and “[b]</w:t>
      </w:r>
      <w:proofErr w:type="spellStart"/>
      <w:r w:rsidRPr="00465DAF">
        <w:rPr>
          <w:rFonts w:ascii="Times New Roman" w:hAnsi="Times New Roman" w:cs="Times New Roman"/>
          <w:sz w:val="24"/>
          <w:szCs w:val="24"/>
        </w:rPr>
        <w:t>ecause</w:t>
      </w:r>
      <w:proofErr w:type="spellEnd"/>
      <w:r w:rsidRPr="00465DAF">
        <w:rPr>
          <w:rFonts w:ascii="Times New Roman" w:hAnsi="Times New Roman" w:cs="Times New Roman"/>
          <w:sz w:val="24"/>
          <w:szCs w:val="24"/>
        </w:rPr>
        <w:t xml:space="preserve"> each factual situation surrounding consent to a search is unique,” a court may also </w:t>
      </w:r>
      <w:r w:rsidR="00736B60">
        <w:rPr>
          <w:rFonts w:ascii="Times New Roman" w:hAnsi="Times New Roman" w:cs="Times New Roman"/>
          <w:sz w:val="24"/>
          <w:szCs w:val="24"/>
        </w:rPr>
        <w:t>consider</w:t>
      </w:r>
      <w:r w:rsidRPr="00465DAF">
        <w:rPr>
          <w:rFonts w:ascii="Times New Roman" w:hAnsi="Times New Roman" w:cs="Times New Roman"/>
          <w:sz w:val="24"/>
          <w:szCs w:val="24"/>
        </w:rPr>
        <w:t xml:space="preserve"> other relevant factors. </w:t>
      </w:r>
      <w:r w:rsidRPr="00465DAF">
        <w:rPr>
          <w:rFonts w:ascii="Times New Roman" w:hAnsi="Times New Roman" w:cs="Times New Roman"/>
          <w:i/>
          <w:iCs/>
          <w:sz w:val="24"/>
          <w:szCs w:val="24"/>
        </w:rPr>
        <w:t>Id</w:t>
      </w:r>
      <w:r w:rsidRPr="00392BB3">
        <w:rPr>
          <w:rFonts w:ascii="Times New Roman" w:hAnsi="Times New Roman" w:cs="Times New Roman"/>
          <w:i/>
          <w:iCs/>
          <w:sz w:val="24"/>
          <w:szCs w:val="24"/>
        </w:rPr>
        <w:t>.</w:t>
      </w:r>
      <w:r w:rsidR="00410222" w:rsidRPr="00392BB3">
        <w:rPr>
          <w:rFonts w:ascii="Times New Roman" w:hAnsi="Times New Roman" w:cs="Times New Roman"/>
          <w:i/>
          <w:iCs/>
          <w:sz w:val="24"/>
          <w:szCs w:val="24"/>
        </w:rPr>
        <w:t>;</w:t>
      </w:r>
      <w:r w:rsidR="00410222" w:rsidRPr="00392BB3">
        <w:rPr>
          <w:rFonts w:ascii="Times New Roman" w:hAnsi="Times New Roman" w:cs="Times New Roman"/>
          <w:sz w:val="24"/>
          <w:szCs w:val="24"/>
        </w:rPr>
        <w:t xml:space="preserve"> </w:t>
      </w:r>
      <w:r w:rsidR="00410222" w:rsidRPr="00392BB3">
        <w:rPr>
          <w:rFonts w:ascii="Times New Roman" w:hAnsi="Times New Roman" w:cs="Times New Roman"/>
          <w:i/>
          <w:iCs/>
          <w:sz w:val="24"/>
          <w:szCs w:val="24"/>
        </w:rPr>
        <w:t>United States v. Taylor</w:t>
      </w:r>
      <w:r w:rsidR="00410222" w:rsidRPr="00392BB3">
        <w:rPr>
          <w:rFonts w:ascii="Times New Roman" w:hAnsi="Times New Roman" w:cs="Times New Roman"/>
          <w:sz w:val="24"/>
          <w:szCs w:val="24"/>
        </w:rPr>
        <w:t xml:space="preserve">, 60 F.4th 1233, 1243 (9th Cir. 2023) (rejecting argument that “racial disparities in the policing of America” invalidated consent, court noted tensions between officers and suspects “may be heightened by personal experiences and other sociocultural factors,” </w:t>
      </w:r>
      <w:r w:rsidR="00392BB3" w:rsidRPr="00392BB3">
        <w:rPr>
          <w:rFonts w:ascii="Times New Roman" w:hAnsi="Times New Roman" w:cs="Times New Roman"/>
          <w:sz w:val="24"/>
          <w:szCs w:val="24"/>
        </w:rPr>
        <w:t>but there</w:t>
      </w:r>
      <w:r w:rsidR="00410222" w:rsidRPr="00392BB3">
        <w:rPr>
          <w:rFonts w:ascii="Times New Roman" w:hAnsi="Times New Roman" w:cs="Times New Roman"/>
          <w:sz w:val="24"/>
          <w:szCs w:val="24"/>
        </w:rPr>
        <w:t xml:space="preserve"> was no evidence in this case that race affected voluntariness of consent)</w:t>
      </w:r>
      <w:r w:rsidR="00D11D40">
        <w:rPr>
          <w:rFonts w:ascii="Times New Roman" w:hAnsi="Times New Roman" w:cs="Times New Roman"/>
          <w:sz w:val="24"/>
          <w:szCs w:val="24"/>
        </w:rPr>
        <w:t xml:space="preserve">; </w:t>
      </w:r>
      <w:r w:rsidR="00D11D40" w:rsidRPr="000A0564">
        <w:rPr>
          <w:rFonts w:ascii="Times New Roman" w:hAnsi="Times New Roman" w:cs="Times New Roman"/>
          <w:i/>
          <w:iCs/>
          <w:sz w:val="24"/>
          <w:szCs w:val="24"/>
        </w:rPr>
        <w:t>Olson v. County of Grant</w:t>
      </w:r>
      <w:r w:rsidR="00D11D40" w:rsidRPr="000A0564">
        <w:rPr>
          <w:rFonts w:ascii="Times New Roman" w:hAnsi="Times New Roman" w:cs="Times New Roman"/>
          <w:sz w:val="24"/>
          <w:szCs w:val="24"/>
        </w:rPr>
        <w:t>, 127 F.4th 1193, 1200 (9th Cir. 2025) (holding that a plaintiff’s consent allowing Idaho law enforcement to search plaintiff’s cell phone did not extend to a search by a different law enforcement agency, in Oregon, for evidence of her boyfriend’s theoretical misdeeds in Oregon)</w:t>
      </w:r>
      <w:r w:rsidR="00410222" w:rsidRPr="000A0564">
        <w:rPr>
          <w:rFonts w:ascii="Times New Roman" w:hAnsi="Times New Roman" w:cs="Times New Roman"/>
          <w:sz w:val="24"/>
          <w:szCs w:val="24"/>
        </w:rPr>
        <w:t>.</w:t>
      </w:r>
      <w:r w:rsidRPr="00465DAF">
        <w:rPr>
          <w:rFonts w:ascii="Times New Roman" w:hAnsi="Times New Roman" w:cs="Times New Roman"/>
          <w:sz w:val="24"/>
          <w:szCs w:val="24"/>
        </w:rPr>
        <w:t xml:space="preserve">  </w:t>
      </w:r>
    </w:p>
    <w:p w14:paraId="1CFFD31C"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1D529FC2" w14:textId="6FE4C4EA"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 xml:space="preserve">In </w:t>
      </w:r>
      <w:r w:rsidRPr="00465DAF">
        <w:rPr>
          <w:rFonts w:ascii="Times New Roman" w:hAnsi="Times New Roman" w:cs="Times New Roman"/>
          <w:i/>
          <w:iCs/>
          <w:sz w:val="24"/>
          <w:szCs w:val="24"/>
        </w:rPr>
        <w:t>Georgia v. Randolph</w:t>
      </w:r>
      <w:r w:rsidRPr="00465DAF">
        <w:rPr>
          <w:rFonts w:ascii="Times New Roman" w:hAnsi="Times New Roman" w:cs="Times New Roman"/>
          <w:sz w:val="24"/>
          <w:szCs w:val="24"/>
        </w:rPr>
        <w:t>, 547 U.S. 103, 106 (2006</w:t>
      </w:r>
      <w:proofErr w:type="gramStart"/>
      <w:r w:rsidRPr="00465DAF">
        <w:rPr>
          <w:rFonts w:ascii="Times New Roman" w:hAnsi="Times New Roman" w:cs="Times New Roman"/>
          <w:sz w:val="24"/>
          <w:szCs w:val="24"/>
        </w:rPr>
        <w:t>),  the</w:t>
      </w:r>
      <w:proofErr w:type="gramEnd"/>
      <w:r w:rsidRPr="00465DAF">
        <w:rPr>
          <w:rFonts w:ascii="Times New Roman" w:hAnsi="Times New Roman" w:cs="Times New Roman"/>
          <w:sz w:val="24"/>
          <w:szCs w:val="24"/>
        </w:rPr>
        <w:t xml:space="preserve"> Supreme Court reiterated this rule:  “The Fourth Amendment recognizes a valid warrantless entry and search of premises when police obtain the voluntary consent of an occupant who shares, or is reasonably believed to share, authority over the area in common with a co-occupant who later objects to the use of evidence so obtained.” </w:t>
      </w:r>
      <w:r w:rsidRPr="00465DAF">
        <w:rPr>
          <w:rFonts w:ascii="Times New Roman" w:hAnsi="Times New Roman" w:cs="Times New Roman"/>
          <w:i/>
          <w:iCs/>
          <w:sz w:val="24"/>
          <w:szCs w:val="24"/>
        </w:rPr>
        <w:t xml:space="preserve"> </w:t>
      </w:r>
      <w:r w:rsidRPr="00465DAF">
        <w:rPr>
          <w:rFonts w:ascii="Times New Roman" w:hAnsi="Times New Roman" w:cs="Times New Roman"/>
          <w:sz w:val="24"/>
          <w:szCs w:val="24"/>
        </w:rPr>
        <w:t xml:space="preserve">The Court, however, also held that, as between a wife’s consent to a search of the family residence and her husband’s refusal to consent, “a physically present co-occupant’s stated refusal to permit entry prevails, rendering the warrantless search unreasonable and invalid as to him.”  </w:t>
      </w:r>
      <w:proofErr w:type="gramStart"/>
      <w:r w:rsidRPr="00465DAF">
        <w:rPr>
          <w:rFonts w:ascii="Times New Roman" w:hAnsi="Times New Roman" w:cs="Times New Roman"/>
          <w:i/>
          <w:iCs/>
          <w:sz w:val="24"/>
          <w:szCs w:val="24"/>
        </w:rPr>
        <w:t>Id.</w:t>
      </w:r>
      <w:r w:rsidR="00736B60">
        <w:rPr>
          <w:rFonts w:ascii="Times New Roman" w:hAnsi="Times New Roman" w:cs="Times New Roman"/>
          <w:i/>
          <w:iCs/>
          <w:sz w:val="24"/>
          <w:szCs w:val="24"/>
        </w:rPr>
        <w:t>;</w:t>
      </w:r>
      <w:proofErr w:type="gramEnd"/>
      <w:r w:rsidRPr="00465DAF">
        <w:rPr>
          <w:rFonts w:ascii="Times New Roman" w:hAnsi="Times New Roman" w:cs="Times New Roman"/>
          <w:i/>
          <w:iCs/>
          <w:sz w:val="24"/>
          <w:szCs w:val="24"/>
        </w:rPr>
        <w:t xml:space="preserve"> </w:t>
      </w:r>
      <w:r w:rsidR="00736B60">
        <w:rPr>
          <w:rFonts w:ascii="Times New Roman" w:hAnsi="Times New Roman" w:cs="Times New Roman"/>
          <w:i/>
          <w:iCs/>
          <w:sz w:val="24"/>
          <w:szCs w:val="24"/>
        </w:rPr>
        <w:t>s</w:t>
      </w:r>
      <w:r w:rsidRPr="00465DAF">
        <w:rPr>
          <w:rFonts w:ascii="Times New Roman" w:hAnsi="Times New Roman" w:cs="Times New Roman"/>
          <w:i/>
          <w:iCs/>
          <w:sz w:val="24"/>
          <w:szCs w:val="24"/>
        </w:rPr>
        <w:t xml:space="preserve">ee also </w:t>
      </w:r>
      <w:proofErr w:type="spellStart"/>
      <w:r w:rsidRPr="00465DAF">
        <w:rPr>
          <w:rFonts w:ascii="Times New Roman" w:hAnsi="Times New Roman" w:cs="Times New Roman"/>
          <w:i/>
          <w:iCs/>
          <w:sz w:val="24"/>
          <w:szCs w:val="24"/>
        </w:rPr>
        <w:t>Bonivert</w:t>
      </w:r>
      <w:proofErr w:type="spellEnd"/>
      <w:r w:rsidRPr="00465DAF">
        <w:rPr>
          <w:rFonts w:ascii="Times New Roman" w:hAnsi="Times New Roman" w:cs="Times New Roman"/>
          <w:i/>
          <w:iCs/>
          <w:sz w:val="24"/>
          <w:szCs w:val="24"/>
        </w:rPr>
        <w:t xml:space="preserve"> v. City of Clarkston</w:t>
      </w:r>
      <w:r w:rsidRPr="00465DAF">
        <w:rPr>
          <w:rFonts w:ascii="Times New Roman" w:hAnsi="Times New Roman" w:cs="Times New Roman"/>
          <w:sz w:val="24"/>
          <w:szCs w:val="24"/>
        </w:rPr>
        <w:t xml:space="preserve">, 883 F.3d 865, 875 (9th Cir. 2018) (“Applying </w:t>
      </w:r>
      <w:r w:rsidRPr="00465DAF">
        <w:rPr>
          <w:rFonts w:ascii="Times New Roman" w:hAnsi="Times New Roman" w:cs="Times New Roman"/>
          <w:i/>
          <w:iCs/>
          <w:sz w:val="24"/>
          <w:szCs w:val="24"/>
        </w:rPr>
        <w:t>Randolph</w:t>
      </w:r>
      <w:r w:rsidRPr="00465DAF">
        <w:rPr>
          <w:rFonts w:ascii="Times New Roman" w:hAnsi="Times New Roman" w:cs="Times New Roman"/>
          <w:sz w:val="24"/>
          <w:szCs w:val="24"/>
        </w:rPr>
        <w:t xml:space="preserve">, we hold that the consent exception to the warrant requirement did not justify the officers’ entry into </w:t>
      </w:r>
      <w:proofErr w:type="spellStart"/>
      <w:r w:rsidRPr="00921DE6">
        <w:rPr>
          <w:rFonts w:ascii="Times New Roman" w:hAnsi="Times New Roman" w:cs="Times New Roman"/>
          <w:i/>
          <w:iCs/>
          <w:sz w:val="24"/>
          <w:szCs w:val="24"/>
        </w:rPr>
        <w:t>Bonivert’s</w:t>
      </w:r>
      <w:proofErr w:type="spellEnd"/>
      <w:r w:rsidRPr="00465DAF">
        <w:rPr>
          <w:rFonts w:ascii="Times New Roman" w:hAnsi="Times New Roman" w:cs="Times New Roman"/>
          <w:sz w:val="24"/>
          <w:szCs w:val="24"/>
        </w:rPr>
        <w:t xml:space="preserve"> home.  Even though the officers secured [co-occupant] </w:t>
      </w:r>
      <w:r w:rsidRPr="00921DE6">
        <w:rPr>
          <w:rFonts w:ascii="Times New Roman" w:hAnsi="Times New Roman" w:cs="Times New Roman"/>
          <w:i/>
          <w:iCs/>
          <w:sz w:val="24"/>
          <w:szCs w:val="24"/>
        </w:rPr>
        <w:t xml:space="preserve">Ausman’s </w:t>
      </w:r>
      <w:r w:rsidRPr="00465DAF">
        <w:rPr>
          <w:rFonts w:ascii="Times New Roman" w:hAnsi="Times New Roman" w:cs="Times New Roman"/>
          <w:sz w:val="24"/>
          <w:szCs w:val="24"/>
        </w:rPr>
        <w:t xml:space="preserve">consent, </w:t>
      </w:r>
      <w:proofErr w:type="spellStart"/>
      <w:r w:rsidRPr="00921DE6">
        <w:rPr>
          <w:rFonts w:ascii="Times New Roman" w:hAnsi="Times New Roman" w:cs="Times New Roman"/>
          <w:i/>
          <w:iCs/>
          <w:sz w:val="24"/>
          <w:szCs w:val="24"/>
        </w:rPr>
        <w:t>Bonivert</w:t>
      </w:r>
      <w:proofErr w:type="spellEnd"/>
      <w:r w:rsidRPr="00465DAF">
        <w:rPr>
          <w:rFonts w:ascii="Times New Roman" w:hAnsi="Times New Roman" w:cs="Times New Roman"/>
          <w:sz w:val="24"/>
          <w:szCs w:val="24"/>
        </w:rPr>
        <w:t xml:space="preserve"> was physically present inside and expressly refused to permit the officers to enter on two different occasions”</w:t>
      </w:r>
      <w:r w:rsidR="00736B60">
        <w:rPr>
          <w:rFonts w:ascii="Times New Roman" w:hAnsi="Times New Roman" w:cs="Times New Roman"/>
          <w:sz w:val="24"/>
          <w:szCs w:val="24"/>
        </w:rPr>
        <w:t xml:space="preserve"> (emphasis added)</w:t>
      </w:r>
      <w:r w:rsidRPr="00465DAF">
        <w:rPr>
          <w:rFonts w:ascii="Times New Roman" w:hAnsi="Times New Roman" w:cs="Times New Roman"/>
          <w:sz w:val="24"/>
          <w:szCs w:val="24"/>
        </w:rPr>
        <w:t xml:space="preserve">).  </w:t>
      </w:r>
      <w:r w:rsidR="00736B60" w:rsidRPr="00736B60">
        <w:rPr>
          <w:rFonts w:ascii="Times New Roman" w:hAnsi="Times New Roman" w:cs="Times New Roman"/>
          <w:sz w:val="24"/>
          <w:szCs w:val="24"/>
        </w:rPr>
        <w:t>The Ninth Circuit clarified that “</w:t>
      </w:r>
      <w:r w:rsidR="00736B60" w:rsidRPr="00736B60">
        <w:rPr>
          <w:rFonts w:ascii="Times New Roman" w:hAnsi="Times New Roman" w:cs="Times New Roman"/>
          <w:i/>
          <w:iCs/>
          <w:sz w:val="24"/>
          <w:szCs w:val="24"/>
        </w:rPr>
        <w:t>Randolph</w:t>
      </w:r>
      <w:r w:rsidR="00736B60" w:rsidRPr="00736B60">
        <w:rPr>
          <w:rFonts w:ascii="Times New Roman" w:hAnsi="Times New Roman" w:cs="Times New Roman"/>
          <w:sz w:val="24"/>
          <w:szCs w:val="24"/>
        </w:rPr>
        <w:t xml:space="preserve"> requires that the resident who is refusing consent both be present at the house and expressly refuse to allow the search.”  </w:t>
      </w:r>
      <w:r w:rsidR="00736B60" w:rsidRPr="00736B60">
        <w:rPr>
          <w:rFonts w:ascii="Times New Roman" w:hAnsi="Times New Roman" w:cs="Times New Roman"/>
          <w:i/>
          <w:iCs/>
          <w:sz w:val="24"/>
          <w:szCs w:val="24"/>
        </w:rPr>
        <w:t>United States v. Moore</w:t>
      </w:r>
      <w:r w:rsidR="00736B60" w:rsidRPr="00736B60">
        <w:rPr>
          <w:rFonts w:ascii="Times New Roman" w:hAnsi="Times New Roman" w:cs="Times New Roman"/>
          <w:sz w:val="24"/>
          <w:szCs w:val="24"/>
        </w:rPr>
        <w:t xml:space="preserve">, 770 F.3d 809, 811 (9th Cir. 2014).  In addition, the Supreme Court has clarified that </w:t>
      </w:r>
      <w:r w:rsidR="00736B60" w:rsidRPr="00736B60">
        <w:rPr>
          <w:rFonts w:ascii="Times New Roman" w:hAnsi="Times New Roman" w:cs="Times New Roman"/>
          <w:i/>
          <w:iCs/>
          <w:sz w:val="24"/>
          <w:szCs w:val="24"/>
        </w:rPr>
        <w:t>Randolph</w:t>
      </w:r>
      <w:r w:rsidR="00736B60" w:rsidRPr="00736B60">
        <w:rPr>
          <w:rFonts w:ascii="Times New Roman" w:hAnsi="Times New Roman" w:cs="Times New Roman"/>
          <w:sz w:val="24"/>
          <w:szCs w:val="24"/>
        </w:rPr>
        <w:t xml:space="preserve"> does not apply when the objecting occupant has been removed and is no longer physically present, including removal through a lawful arrest.  </w:t>
      </w:r>
      <w:r w:rsidR="00736B60" w:rsidRPr="00736B60">
        <w:rPr>
          <w:rFonts w:ascii="Times New Roman" w:hAnsi="Times New Roman" w:cs="Times New Roman"/>
          <w:i/>
          <w:iCs/>
          <w:sz w:val="24"/>
          <w:szCs w:val="24"/>
        </w:rPr>
        <w:t>Fernandez v. California</w:t>
      </w:r>
      <w:r w:rsidR="00736B60" w:rsidRPr="00736B60">
        <w:rPr>
          <w:rFonts w:ascii="Times New Roman" w:hAnsi="Times New Roman" w:cs="Times New Roman"/>
          <w:sz w:val="24"/>
          <w:szCs w:val="24"/>
        </w:rPr>
        <w:t xml:space="preserve">, 571 U.S. 292, </w:t>
      </w:r>
      <w:r w:rsidR="003013C3">
        <w:rPr>
          <w:rFonts w:ascii="Times New Roman" w:hAnsi="Times New Roman" w:cs="Times New Roman"/>
          <w:sz w:val="24"/>
          <w:szCs w:val="24"/>
        </w:rPr>
        <w:t xml:space="preserve">302-03 </w:t>
      </w:r>
      <w:r w:rsidR="00736B60" w:rsidRPr="00736B60">
        <w:rPr>
          <w:rFonts w:ascii="Times New Roman" w:hAnsi="Times New Roman" w:cs="Times New Roman"/>
          <w:sz w:val="24"/>
          <w:szCs w:val="24"/>
        </w:rPr>
        <w:t>(2014) (upholding warrantless search of apartment when consent later obtained from co-occupant after initially objecting occupant arrested on suspicion of assaulting co-occupant)</w:t>
      </w:r>
      <w:r w:rsidR="003013C3" w:rsidRPr="00AA38DF">
        <w:rPr>
          <w:rFonts w:ascii="Times New Roman" w:hAnsi="Times New Roman" w:cs="Times New Roman"/>
          <w:sz w:val="24"/>
          <w:szCs w:val="24"/>
        </w:rPr>
        <w:t xml:space="preserve">; </w:t>
      </w:r>
      <w:r w:rsidR="003013C3" w:rsidRPr="00AA38DF">
        <w:rPr>
          <w:rFonts w:ascii="Times New Roman" w:hAnsi="Times New Roman" w:cs="Times New Roman"/>
          <w:i/>
          <w:iCs/>
          <w:sz w:val="24"/>
          <w:szCs w:val="24"/>
        </w:rPr>
        <w:t>United States v. Parkins</w:t>
      </w:r>
      <w:r w:rsidR="003013C3" w:rsidRPr="00AA38DF">
        <w:rPr>
          <w:rFonts w:ascii="Times New Roman" w:hAnsi="Times New Roman" w:cs="Times New Roman"/>
          <w:sz w:val="24"/>
          <w:szCs w:val="24"/>
        </w:rPr>
        <w:t>, 92 F.4th 882, 890-91 (9th Cir. 2024) (explaining that a defendant need not stand at the doorway to count as being physically present—presence on the premises (including its immediate vicinity) is sufficient)</w:t>
      </w:r>
      <w:r w:rsidR="00736B60" w:rsidRPr="00736B60">
        <w:rPr>
          <w:rFonts w:ascii="Times New Roman" w:hAnsi="Times New Roman" w:cs="Times New Roman"/>
          <w:sz w:val="24"/>
          <w:szCs w:val="24"/>
        </w:rPr>
        <w:t xml:space="preserve">; </w:t>
      </w:r>
      <w:r w:rsidR="00736B60">
        <w:rPr>
          <w:rFonts w:ascii="Times New Roman" w:hAnsi="Times New Roman" w:cs="Times New Roman"/>
          <w:i/>
          <w:iCs/>
          <w:sz w:val="24"/>
          <w:szCs w:val="24"/>
        </w:rPr>
        <w:t>s</w:t>
      </w:r>
      <w:r w:rsidRPr="00465DAF">
        <w:rPr>
          <w:rFonts w:ascii="Times New Roman" w:hAnsi="Times New Roman" w:cs="Times New Roman"/>
          <w:i/>
          <w:iCs/>
          <w:sz w:val="24"/>
          <w:szCs w:val="24"/>
        </w:rPr>
        <w:t xml:space="preserve">ee </w:t>
      </w:r>
      <w:r w:rsidR="00736B60">
        <w:rPr>
          <w:rFonts w:ascii="Times New Roman" w:hAnsi="Times New Roman" w:cs="Times New Roman"/>
          <w:i/>
          <w:iCs/>
          <w:sz w:val="24"/>
          <w:szCs w:val="24"/>
        </w:rPr>
        <w:t xml:space="preserve">also </w:t>
      </w:r>
      <w:r w:rsidR="003013C3" w:rsidRPr="003013C3">
        <w:rPr>
          <w:rFonts w:ascii="Times New Roman" w:hAnsi="Times New Roman" w:cs="Times New Roman"/>
          <w:i/>
          <w:iCs/>
          <w:sz w:val="24"/>
          <w:szCs w:val="24"/>
        </w:rPr>
        <w:t xml:space="preserve">United States v. </w:t>
      </w:r>
      <w:r w:rsidRPr="00465DAF">
        <w:rPr>
          <w:rFonts w:ascii="Times New Roman" w:hAnsi="Times New Roman" w:cs="Times New Roman"/>
          <w:i/>
          <w:iCs/>
          <w:sz w:val="24"/>
          <w:szCs w:val="24"/>
        </w:rPr>
        <w:t>Brown</w:t>
      </w:r>
      <w:r w:rsidRPr="00465DAF">
        <w:rPr>
          <w:rFonts w:ascii="Times New Roman" w:hAnsi="Times New Roman" w:cs="Times New Roman"/>
          <w:sz w:val="24"/>
          <w:szCs w:val="24"/>
        </w:rPr>
        <w:t xml:space="preserve">, 563 F.3d </w:t>
      </w:r>
      <w:r w:rsidR="003013C3" w:rsidRPr="003013C3">
        <w:rPr>
          <w:rFonts w:ascii="Times New Roman" w:hAnsi="Times New Roman" w:cs="Times New Roman"/>
          <w:sz w:val="24"/>
          <w:szCs w:val="24"/>
        </w:rPr>
        <w:t xml:space="preserve">410, </w:t>
      </w:r>
      <w:r w:rsidR="003013C3" w:rsidRPr="00465DAF">
        <w:rPr>
          <w:rFonts w:ascii="Times New Roman" w:hAnsi="Times New Roman" w:cs="Times New Roman"/>
          <w:sz w:val="24"/>
          <w:szCs w:val="24"/>
        </w:rPr>
        <w:t>416-1</w:t>
      </w:r>
      <w:r w:rsidR="003013C3">
        <w:rPr>
          <w:rFonts w:ascii="Times New Roman" w:hAnsi="Times New Roman" w:cs="Times New Roman"/>
          <w:sz w:val="24"/>
          <w:szCs w:val="24"/>
        </w:rPr>
        <w:t>8</w:t>
      </w:r>
      <w:r w:rsidR="003013C3" w:rsidRPr="00465DAF">
        <w:rPr>
          <w:rFonts w:ascii="Times New Roman" w:hAnsi="Times New Roman" w:cs="Times New Roman"/>
          <w:sz w:val="24"/>
          <w:szCs w:val="24"/>
        </w:rPr>
        <w:t xml:space="preserve"> </w:t>
      </w:r>
      <w:r w:rsidR="003013C3" w:rsidRPr="003013C3">
        <w:rPr>
          <w:rFonts w:ascii="Times New Roman" w:hAnsi="Times New Roman" w:cs="Times New Roman"/>
          <w:sz w:val="24"/>
          <w:szCs w:val="24"/>
        </w:rPr>
        <w:t>(9th Cir. 2009)</w:t>
      </w:r>
      <w:r w:rsidRPr="00465DAF">
        <w:rPr>
          <w:rFonts w:ascii="Times New Roman" w:hAnsi="Times New Roman" w:cs="Times New Roman"/>
          <w:sz w:val="24"/>
          <w:szCs w:val="24"/>
        </w:rPr>
        <w:t xml:space="preserve"> (finding voluntary consent from co-occupant of residence when defendant had been arrested pursuant to valid arrest warrant and placed in squad car prior to consent discussion with co-occupant). </w:t>
      </w:r>
    </w:p>
    <w:p w14:paraId="05C78D01"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53790354" w14:textId="70472DAE"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r>
      <w:r w:rsidRPr="00465DAF">
        <w:rPr>
          <w:rFonts w:ascii="Times New Roman" w:hAnsi="Times New Roman" w:cs="Times New Roman"/>
          <w:i/>
          <w:iCs/>
          <w:sz w:val="24"/>
          <w:szCs w:val="24"/>
        </w:rPr>
        <w:t xml:space="preserve">Randolph’s </w:t>
      </w:r>
      <w:r w:rsidRPr="00465DAF">
        <w:rPr>
          <w:rFonts w:ascii="Times New Roman" w:hAnsi="Times New Roman" w:cs="Times New Roman"/>
          <w:sz w:val="24"/>
          <w:szCs w:val="24"/>
        </w:rPr>
        <w:t xml:space="preserve">exception to the consent rule for third parties does not apply when the “consent” consists of a probationer’s search condition. That scenario requires an examination of whether a warrantless search “was reasonable under the Court’s general Fourth Amendment approach of ‘examining the totality of the circumstances,’ with the probation search condition being a salient circumstance.”  </w:t>
      </w:r>
      <w:r w:rsidRPr="00465DAF">
        <w:rPr>
          <w:rFonts w:ascii="Times New Roman" w:hAnsi="Times New Roman" w:cs="Times New Roman"/>
          <w:i/>
          <w:iCs/>
          <w:sz w:val="24"/>
          <w:szCs w:val="24"/>
        </w:rPr>
        <w:t>Smith v. City of Santa Clara</w:t>
      </w:r>
      <w:r w:rsidRPr="00465DAF">
        <w:rPr>
          <w:rFonts w:ascii="Times New Roman" w:hAnsi="Times New Roman" w:cs="Times New Roman"/>
          <w:sz w:val="24"/>
          <w:szCs w:val="24"/>
        </w:rPr>
        <w:t xml:space="preserve">, 876 F.3d 987, 992 (9th Cir. 2017) </w:t>
      </w:r>
      <w:r w:rsidR="00736B60" w:rsidRPr="00736B60">
        <w:rPr>
          <w:rFonts w:ascii="Times New Roman" w:hAnsi="Times New Roman" w:cs="Times New Roman"/>
          <w:sz w:val="24"/>
          <w:szCs w:val="24"/>
        </w:rPr>
        <w:lastRenderedPageBreak/>
        <w:t xml:space="preserve">(internal quotation marks and brackets omitted) </w:t>
      </w:r>
      <w:r w:rsidRPr="00465DAF">
        <w:rPr>
          <w:rFonts w:ascii="Times New Roman" w:hAnsi="Times New Roman" w:cs="Times New Roman"/>
          <w:sz w:val="24"/>
          <w:szCs w:val="24"/>
        </w:rPr>
        <w:t>(</w:t>
      </w:r>
      <w:r w:rsidR="00736B60">
        <w:rPr>
          <w:rFonts w:ascii="Times New Roman" w:hAnsi="Times New Roman" w:cs="Times New Roman"/>
          <w:sz w:val="24"/>
          <w:szCs w:val="24"/>
        </w:rPr>
        <w:t>quoting</w:t>
      </w:r>
      <w:r w:rsidR="00736B60" w:rsidRPr="00465DAF">
        <w:rPr>
          <w:rFonts w:ascii="Times New Roman" w:hAnsi="Times New Roman" w:cs="Times New Roman"/>
          <w:sz w:val="24"/>
          <w:szCs w:val="24"/>
        </w:rPr>
        <w:t xml:space="preserve"> </w:t>
      </w:r>
      <w:r w:rsidRPr="00465DAF">
        <w:rPr>
          <w:rFonts w:ascii="Times New Roman" w:hAnsi="Times New Roman" w:cs="Times New Roman"/>
          <w:i/>
          <w:iCs/>
          <w:sz w:val="24"/>
          <w:szCs w:val="24"/>
        </w:rPr>
        <w:t>United States v. Knights</w:t>
      </w:r>
      <w:r w:rsidRPr="00465DAF">
        <w:rPr>
          <w:rFonts w:ascii="Times New Roman" w:hAnsi="Times New Roman" w:cs="Times New Roman"/>
          <w:sz w:val="24"/>
          <w:szCs w:val="24"/>
        </w:rPr>
        <w:t>, 534 U.S. 112, 118 (2001) (rejecting jury instruction framed in terms of consent based on warrantless probation search condition)).</w:t>
      </w:r>
    </w:p>
    <w:p w14:paraId="64818E8C"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59467350"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Whether an individual was told he or she was “free to leave” may implicate both the</w:t>
      </w:r>
    </w:p>
    <w:p w14:paraId="7EC2B7D3"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first factor—whether the individual was in custody—and the fourth factor—whether he or</w:t>
      </w:r>
    </w:p>
    <w:p w14:paraId="0F130BD9"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 xml:space="preserve">she was informed he or she could refuse consent.  </w:t>
      </w:r>
      <w:r w:rsidRPr="00465DAF">
        <w:rPr>
          <w:rFonts w:ascii="Times New Roman" w:hAnsi="Times New Roman" w:cs="Times New Roman"/>
          <w:i/>
          <w:iCs/>
          <w:sz w:val="24"/>
          <w:szCs w:val="24"/>
        </w:rPr>
        <w:t>See</w:t>
      </w:r>
      <w:r w:rsidRPr="00465DAF">
        <w:rPr>
          <w:rFonts w:ascii="Times New Roman" w:hAnsi="Times New Roman" w:cs="Times New Roman"/>
          <w:sz w:val="24"/>
          <w:szCs w:val="24"/>
        </w:rPr>
        <w:t xml:space="preserve">, </w:t>
      </w:r>
      <w:r w:rsidRPr="00465DAF">
        <w:rPr>
          <w:rFonts w:ascii="Times New Roman" w:hAnsi="Times New Roman" w:cs="Times New Roman"/>
          <w:i/>
          <w:iCs/>
          <w:sz w:val="24"/>
          <w:szCs w:val="24"/>
        </w:rPr>
        <w:t>e.g</w:t>
      </w:r>
      <w:r w:rsidRPr="00465DAF">
        <w:rPr>
          <w:rFonts w:ascii="Times New Roman" w:hAnsi="Times New Roman" w:cs="Times New Roman"/>
          <w:sz w:val="24"/>
          <w:szCs w:val="24"/>
        </w:rPr>
        <w:t xml:space="preserve">., </w:t>
      </w:r>
      <w:r w:rsidRPr="00465DAF">
        <w:rPr>
          <w:rFonts w:ascii="Times New Roman" w:hAnsi="Times New Roman" w:cs="Times New Roman"/>
          <w:i/>
          <w:iCs/>
          <w:sz w:val="24"/>
          <w:szCs w:val="24"/>
        </w:rPr>
        <w:t>United States v. Russell</w:t>
      </w:r>
      <w:r w:rsidRPr="00465DAF">
        <w:rPr>
          <w:rFonts w:ascii="Times New Roman" w:hAnsi="Times New Roman" w:cs="Times New Roman"/>
          <w:sz w:val="24"/>
          <w:szCs w:val="24"/>
        </w:rPr>
        <w:t>, 664 F.3d</w:t>
      </w:r>
    </w:p>
    <w:p w14:paraId="68BA306A"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 xml:space="preserve">1279, 1281 (9th Cir. 2012) (noting that officer’s instruction that individual is free to leave is “an instructive, but certainly less clear, way of saying that consent could be refused”); </w:t>
      </w:r>
      <w:r w:rsidRPr="00465DAF">
        <w:rPr>
          <w:rFonts w:ascii="Times New Roman" w:hAnsi="Times New Roman" w:cs="Times New Roman"/>
          <w:i/>
          <w:iCs/>
          <w:sz w:val="24"/>
          <w:szCs w:val="24"/>
        </w:rPr>
        <w:t>United States v. Bassignani</w:t>
      </w:r>
      <w:r w:rsidRPr="00465DAF">
        <w:rPr>
          <w:rFonts w:ascii="Times New Roman" w:hAnsi="Times New Roman" w:cs="Times New Roman"/>
          <w:sz w:val="24"/>
          <w:szCs w:val="24"/>
        </w:rPr>
        <w:t xml:space="preserve">, 575 F.3d 879, 886 (9th Cir. 2009) (noting that officer’s instruction that individual is free to leave is important consideration in determining whether individual is in custody); </w:t>
      </w:r>
      <w:r w:rsidRPr="00465DAF">
        <w:rPr>
          <w:rFonts w:ascii="Times New Roman" w:hAnsi="Times New Roman" w:cs="Times New Roman"/>
          <w:i/>
          <w:iCs/>
          <w:sz w:val="24"/>
          <w:szCs w:val="24"/>
        </w:rPr>
        <w:t>but see United States v. Stephens</w:t>
      </w:r>
      <w:r w:rsidRPr="00465DAF">
        <w:rPr>
          <w:rFonts w:ascii="Times New Roman" w:hAnsi="Times New Roman" w:cs="Times New Roman"/>
          <w:sz w:val="24"/>
          <w:szCs w:val="24"/>
        </w:rPr>
        <w:t>, 206 F.3d 914, 917 (9th Cir. 2000) (noting that, when searching bus passengers, “free to leave” warning is inadequate to ensure voluntariness).</w:t>
      </w:r>
    </w:p>
    <w:p w14:paraId="77B6357C"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242ED940" w14:textId="01ADA3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 xml:space="preserve">Under certain circumstances, a third party may have actual or apparent authority to give consent to the search of another’s property.  </w:t>
      </w:r>
      <w:r w:rsidR="00736B60" w:rsidRPr="00736B60">
        <w:rPr>
          <w:rFonts w:ascii="Times New Roman" w:hAnsi="Times New Roman" w:cs="Times New Roman"/>
          <w:i/>
          <w:iCs/>
          <w:sz w:val="24"/>
          <w:szCs w:val="24"/>
        </w:rPr>
        <w:t xml:space="preserve">Espinosa v. City &amp; </w:t>
      </w:r>
      <w:proofErr w:type="spellStart"/>
      <w:r w:rsidR="00736B60" w:rsidRPr="00736B60">
        <w:rPr>
          <w:rFonts w:ascii="Times New Roman" w:hAnsi="Times New Roman" w:cs="Times New Roman"/>
          <w:i/>
          <w:iCs/>
          <w:sz w:val="24"/>
          <w:szCs w:val="24"/>
        </w:rPr>
        <w:t>Cnty</w:t>
      </w:r>
      <w:proofErr w:type="spellEnd"/>
      <w:r w:rsidR="00736B60" w:rsidRPr="00736B60">
        <w:rPr>
          <w:rFonts w:ascii="Times New Roman" w:hAnsi="Times New Roman" w:cs="Times New Roman"/>
          <w:i/>
          <w:iCs/>
          <w:sz w:val="24"/>
          <w:szCs w:val="24"/>
        </w:rPr>
        <w:t>. of San Francisco</w:t>
      </w:r>
      <w:r w:rsidR="00736B60" w:rsidRPr="00736B60">
        <w:rPr>
          <w:rFonts w:ascii="Times New Roman" w:hAnsi="Times New Roman" w:cs="Times New Roman"/>
          <w:sz w:val="24"/>
          <w:szCs w:val="24"/>
        </w:rPr>
        <w:t>, 598 F.3d 528, 536 (9th Cir. 2010) (citing</w:t>
      </w:r>
      <w:r w:rsidR="00736B60" w:rsidRPr="00736B60" w:rsidDel="00736B60">
        <w:rPr>
          <w:rFonts w:ascii="Times New Roman" w:hAnsi="Times New Roman" w:cs="Times New Roman"/>
          <w:sz w:val="24"/>
          <w:szCs w:val="24"/>
        </w:rPr>
        <w:t xml:space="preserve"> </w:t>
      </w:r>
      <w:r w:rsidRPr="00465DAF">
        <w:rPr>
          <w:rFonts w:ascii="Times New Roman" w:hAnsi="Times New Roman" w:cs="Times New Roman"/>
          <w:i/>
          <w:iCs/>
          <w:sz w:val="24"/>
          <w:szCs w:val="24"/>
        </w:rPr>
        <w:t>United States v. Ruiz</w:t>
      </w:r>
      <w:r w:rsidRPr="00465DAF">
        <w:rPr>
          <w:rFonts w:ascii="Times New Roman" w:hAnsi="Times New Roman" w:cs="Times New Roman"/>
          <w:sz w:val="24"/>
          <w:szCs w:val="24"/>
        </w:rPr>
        <w:t>, 428 F.3d 877, 880-81 (9th Cir. 2005)</w:t>
      </w:r>
      <w:r w:rsidR="00736B60">
        <w:rPr>
          <w:rFonts w:ascii="Times New Roman" w:hAnsi="Times New Roman" w:cs="Times New Roman"/>
          <w:sz w:val="24"/>
          <w:szCs w:val="24"/>
        </w:rPr>
        <w:t>)</w:t>
      </w:r>
      <w:r w:rsidRPr="00465DAF">
        <w:rPr>
          <w:rFonts w:ascii="Times New Roman" w:hAnsi="Times New Roman" w:cs="Times New Roman"/>
          <w:sz w:val="24"/>
          <w:szCs w:val="24"/>
        </w:rPr>
        <w:t xml:space="preserve"> (stating three-part test to determine apparent authority of third person).  When authority to consent is factually disputed, it may be necessary to instruct the jury on these standards.</w:t>
      </w:r>
    </w:p>
    <w:p w14:paraId="345121D3"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278B709F"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Relatedly, the “knock and talk” exception, which allows officers to approach a home and</w:t>
      </w:r>
    </w:p>
    <w:p w14:paraId="2B6C5CDA"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knock on the door, does not apply when the officers’ purpose in conducting the “knock and talk”</w:t>
      </w:r>
    </w:p>
    <w:p w14:paraId="7732EFE8"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 xml:space="preserve">is to arrest the occupant.  </w:t>
      </w:r>
      <w:r w:rsidRPr="00465DAF">
        <w:rPr>
          <w:rFonts w:ascii="Times New Roman" w:hAnsi="Times New Roman" w:cs="Times New Roman"/>
          <w:i/>
          <w:iCs/>
          <w:sz w:val="24"/>
          <w:szCs w:val="24"/>
        </w:rPr>
        <w:t>United States v. Lundin</w:t>
      </w:r>
      <w:r w:rsidRPr="00465DAF">
        <w:rPr>
          <w:rFonts w:ascii="Times New Roman" w:hAnsi="Times New Roman" w:cs="Times New Roman"/>
          <w:sz w:val="24"/>
          <w:szCs w:val="24"/>
        </w:rPr>
        <w:t>, 817 F.3d 1151, 1160 (9th Cir. 2016).</w:t>
      </w:r>
    </w:p>
    <w:p w14:paraId="5B7025AE"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78626145"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ab/>
        <w:t>A plaintiff alleging a § 1983 claim based on an unreasonable search in violation</w:t>
      </w:r>
    </w:p>
    <w:p w14:paraId="6D06C774" w14:textId="56F129A0" w:rsidR="00465DAF" w:rsidRDefault="00465DAF" w:rsidP="00465DAF">
      <w:pPr>
        <w:autoSpaceDE w:val="0"/>
        <w:autoSpaceDN w:val="0"/>
        <w:adjustRightInd w:val="0"/>
        <w:spacing w:after="0" w:line="240" w:lineRule="auto"/>
        <w:rPr>
          <w:rFonts w:ascii="Times New Roman" w:hAnsi="Times New Roman" w:cs="Times New Roman"/>
          <w:sz w:val="24"/>
          <w:szCs w:val="24"/>
        </w:rPr>
      </w:pPr>
      <w:r w:rsidRPr="00465DAF">
        <w:rPr>
          <w:rFonts w:ascii="Times New Roman" w:hAnsi="Times New Roman" w:cs="Times New Roman"/>
          <w:sz w:val="24"/>
          <w:szCs w:val="24"/>
        </w:rPr>
        <w:t xml:space="preserve">of the Fourth Amendment has the burden of proving at trial that an asserted exception to the warrant requirement did not apply.  </w:t>
      </w:r>
      <w:r w:rsidRPr="00465DAF">
        <w:rPr>
          <w:rFonts w:ascii="Times New Roman" w:hAnsi="Times New Roman" w:cs="Times New Roman"/>
          <w:i/>
          <w:iCs/>
          <w:sz w:val="24"/>
          <w:szCs w:val="24"/>
        </w:rPr>
        <w:t>Larez v. Holcomb</w:t>
      </w:r>
      <w:r w:rsidRPr="00465DAF">
        <w:rPr>
          <w:rFonts w:ascii="Times New Roman" w:hAnsi="Times New Roman" w:cs="Times New Roman"/>
          <w:sz w:val="24"/>
          <w:szCs w:val="24"/>
        </w:rPr>
        <w:t xml:space="preserve">, 16 F.3d 1513, 1517-18 (9th Cir. 1994);  </w:t>
      </w:r>
      <w:r w:rsidRPr="00465DAF">
        <w:rPr>
          <w:rFonts w:ascii="Times New Roman" w:hAnsi="Times New Roman" w:cs="Times New Roman"/>
          <w:i/>
          <w:iCs/>
          <w:sz w:val="24"/>
          <w:szCs w:val="24"/>
        </w:rPr>
        <w:t>see Mueller v. Auker</w:t>
      </w:r>
      <w:r w:rsidRPr="00465DAF">
        <w:rPr>
          <w:rFonts w:ascii="Times New Roman" w:hAnsi="Times New Roman" w:cs="Times New Roman"/>
          <w:sz w:val="24"/>
          <w:szCs w:val="24"/>
        </w:rPr>
        <w:t xml:space="preserve">, 700 F.3d 1180, 1193 (9th Cir. 2012) (placing burden on plaintiff to establish absence of imminent danger in claim of interference with parent-child relationship);  </w:t>
      </w:r>
      <w:r w:rsidRPr="00465DAF">
        <w:rPr>
          <w:rFonts w:ascii="Times New Roman" w:hAnsi="Times New Roman" w:cs="Times New Roman"/>
          <w:i/>
          <w:iCs/>
          <w:sz w:val="24"/>
          <w:szCs w:val="24"/>
        </w:rPr>
        <w:t>Pavao v. Pagay</w:t>
      </w:r>
      <w:r w:rsidRPr="00465DAF">
        <w:rPr>
          <w:rFonts w:ascii="Times New Roman" w:hAnsi="Times New Roman" w:cs="Times New Roman"/>
          <w:sz w:val="24"/>
          <w:szCs w:val="24"/>
        </w:rPr>
        <w:t xml:space="preserve">, 307 F.3d 915, 919 (9th Cir. 2002) (reaffirming that plaintiff in § 1983 action “carries the ultimate burden of establishing each element of his or her claim, including lack of consent [to search]”). </w:t>
      </w:r>
    </w:p>
    <w:p w14:paraId="27A9E0F4" w14:textId="77777777" w:rsidR="00162810" w:rsidRDefault="00162810" w:rsidP="00465DAF">
      <w:pPr>
        <w:autoSpaceDE w:val="0"/>
        <w:autoSpaceDN w:val="0"/>
        <w:adjustRightInd w:val="0"/>
        <w:spacing w:after="0" w:line="240" w:lineRule="auto"/>
        <w:rPr>
          <w:rFonts w:ascii="Times New Roman" w:hAnsi="Times New Roman" w:cs="Times New Roman"/>
          <w:sz w:val="24"/>
          <w:szCs w:val="24"/>
        </w:rPr>
      </w:pPr>
    </w:p>
    <w:p w14:paraId="462EB371" w14:textId="61A57D2C" w:rsidR="00162810" w:rsidRPr="00465DAF" w:rsidRDefault="00162810" w:rsidP="00037EC2">
      <w:pPr>
        <w:autoSpaceDE w:val="0"/>
        <w:autoSpaceDN w:val="0"/>
        <w:adjustRightInd w:val="0"/>
        <w:spacing w:after="0" w:line="240" w:lineRule="auto"/>
        <w:ind w:firstLine="720"/>
        <w:rPr>
          <w:rFonts w:ascii="Times New Roman" w:hAnsi="Times New Roman" w:cs="Times New Roman"/>
          <w:sz w:val="24"/>
          <w:szCs w:val="24"/>
        </w:rPr>
      </w:pPr>
      <w:r w:rsidRPr="00037EC2">
        <w:rPr>
          <w:rFonts w:ascii="Times New Roman" w:hAnsi="Times New Roman" w:cs="Times New Roman"/>
          <w:sz w:val="24"/>
          <w:szCs w:val="24"/>
        </w:rPr>
        <w:t xml:space="preserve">When </w:t>
      </w:r>
      <w:r w:rsidR="004C43A2" w:rsidRPr="00037EC2">
        <w:rPr>
          <w:rFonts w:ascii="Times New Roman" w:hAnsi="Times New Roman" w:cs="Times New Roman"/>
          <w:sz w:val="24"/>
          <w:szCs w:val="24"/>
        </w:rPr>
        <w:t>“</w:t>
      </w:r>
      <w:r w:rsidRPr="00037EC2">
        <w:rPr>
          <w:rFonts w:ascii="Times New Roman" w:hAnsi="Times New Roman" w:cs="Times New Roman"/>
          <w:sz w:val="24"/>
          <w:szCs w:val="24"/>
        </w:rPr>
        <w:t>an officer enters a premises with express consent, and secretly uses recording equipment to capture only what he can see and hear by virtue of that consented entry, no Fourth Amendment search occurs under the trespassory, unlicensed physical intrusion framework.</w:t>
      </w:r>
      <w:r w:rsidR="004C43A2" w:rsidRPr="00037EC2">
        <w:rPr>
          <w:rFonts w:ascii="Times New Roman" w:hAnsi="Times New Roman" w:cs="Times New Roman"/>
          <w:sz w:val="24"/>
          <w:szCs w:val="24"/>
        </w:rPr>
        <w:t>”</w:t>
      </w:r>
      <w:r w:rsidRPr="00037EC2">
        <w:rPr>
          <w:rFonts w:ascii="Times New Roman" w:hAnsi="Times New Roman" w:cs="Times New Roman"/>
          <w:sz w:val="24"/>
          <w:szCs w:val="24"/>
        </w:rPr>
        <w:t xml:space="preserve"> </w:t>
      </w:r>
      <w:r w:rsidRPr="00037EC2">
        <w:rPr>
          <w:rFonts w:ascii="Times New Roman" w:hAnsi="Times New Roman" w:cs="Times New Roman"/>
          <w:i/>
          <w:iCs/>
          <w:sz w:val="24"/>
          <w:szCs w:val="24"/>
        </w:rPr>
        <w:t>United States v. Esqueda</w:t>
      </w:r>
      <w:r w:rsidRPr="00037EC2">
        <w:rPr>
          <w:rFonts w:ascii="Times New Roman" w:hAnsi="Times New Roman" w:cs="Times New Roman"/>
          <w:sz w:val="24"/>
          <w:szCs w:val="24"/>
        </w:rPr>
        <w:t>,</w:t>
      </w:r>
      <w:r w:rsidRPr="00037EC2">
        <w:rPr>
          <w:rFonts w:ascii="Times New Roman" w:hAnsi="Times New Roman" w:cs="Times New Roman"/>
          <w:i/>
          <w:iCs/>
          <w:sz w:val="24"/>
          <w:szCs w:val="24"/>
        </w:rPr>
        <w:t xml:space="preserve"> </w:t>
      </w:r>
      <w:r w:rsidRPr="00037EC2">
        <w:rPr>
          <w:rFonts w:ascii="Times New Roman" w:hAnsi="Times New Roman" w:cs="Times New Roman"/>
          <w:sz w:val="24"/>
          <w:szCs w:val="24"/>
        </w:rPr>
        <w:t>88 F.4th 818 (9th Cir. 2023).</w:t>
      </w:r>
      <w:r w:rsidR="004C43A2" w:rsidRPr="00037EC2">
        <w:rPr>
          <w:rFonts w:ascii="Times New Roman" w:hAnsi="Times New Roman" w:cs="Times New Roman"/>
          <w:sz w:val="24"/>
          <w:szCs w:val="24"/>
        </w:rPr>
        <w:t xml:space="preserve"> Although no search occurs when an undercover government agent misrepresents his identity to gain consent to enter, </w:t>
      </w:r>
      <w:r w:rsidR="004C43A2" w:rsidRPr="00037EC2">
        <w:rPr>
          <w:rFonts w:ascii="Times New Roman" w:hAnsi="Times New Roman" w:cs="Times New Roman"/>
          <w:i/>
          <w:iCs/>
          <w:sz w:val="24"/>
          <w:szCs w:val="24"/>
        </w:rPr>
        <w:t xml:space="preserve">id. </w:t>
      </w:r>
      <w:r w:rsidR="004C43A2" w:rsidRPr="00037EC2">
        <w:rPr>
          <w:rFonts w:ascii="Times New Roman" w:hAnsi="Times New Roman" w:cs="Times New Roman"/>
          <w:sz w:val="24"/>
          <w:szCs w:val="24"/>
        </w:rPr>
        <w:t xml:space="preserve">at 825, 830, a Fourth Amendment search does occur when “a known government agent affirmatively misrepresents his </w:t>
      </w:r>
      <w:r w:rsidR="004C43A2" w:rsidRPr="00037EC2">
        <w:rPr>
          <w:rFonts w:ascii="Times New Roman" w:hAnsi="Times New Roman" w:cs="Times New Roman"/>
          <w:i/>
          <w:iCs/>
          <w:sz w:val="24"/>
          <w:szCs w:val="24"/>
        </w:rPr>
        <w:t xml:space="preserve">purpose </w:t>
      </w:r>
      <w:r w:rsidR="004C43A2" w:rsidRPr="00037EC2">
        <w:rPr>
          <w:rFonts w:ascii="Times New Roman" w:hAnsi="Times New Roman" w:cs="Times New Roman"/>
          <w:sz w:val="24"/>
          <w:szCs w:val="24"/>
        </w:rPr>
        <w:t xml:space="preserve">to gain consent to enter,” </w:t>
      </w:r>
      <w:r w:rsidR="004C43A2" w:rsidRPr="00037EC2">
        <w:rPr>
          <w:rFonts w:ascii="Times New Roman" w:hAnsi="Times New Roman" w:cs="Times New Roman"/>
          <w:i/>
          <w:iCs/>
          <w:sz w:val="24"/>
          <w:szCs w:val="24"/>
        </w:rPr>
        <w:t xml:space="preserve">id. </w:t>
      </w:r>
      <w:r w:rsidR="004C43A2" w:rsidRPr="00037EC2">
        <w:rPr>
          <w:rFonts w:ascii="Times New Roman" w:hAnsi="Times New Roman" w:cs="Times New Roman"/>
          <w:sz w:val="24"/>
          <w:szCs w:val="24"/>
        </w:rPr>
        <w:t xml:space="preserve">at 826 n.4 </w:t>
      </w:r>
      <w:r w:rsidR="00FE378F" w:rsidRPr="00037EC2">
        <w:rPr>
          <w:rFonts w:ascii="Times New Roman" w:hAnsi="Times New Roman" w:cs="Times New Roman"/>
          <w:sz w:val="24"/>
          <w:szCs w:val="24"/>
        </w:rPr>
        <w:t xml:space="preserve">(emphasis in original) </w:t>
      </w:r>
      <w:r w:rsidR="004C43A2" w:rsidRPr="00037EC2">
        <w:rPr>
          <w:rFonts w:ascii="Times New Roman" w:hAnsi="Times New Roman" w:cs="Times New Roman"/>
          <w:sz w:val="24"/>
          <w:szCs w:val="24"/>
        </w:rPr>
        <w:t xml:space="preserve">(citing </w:t>
      </w:r>
      <w:r w:rsidR="004C43A2" w:rsidRPr="00037EC2">
        <w:rPr>
          <w:rFonts w:ascii="Times New Roman" w:hAnsi="Times New Roman" w:cs="Times New Roman"/>
          <w:i/>
          <w:iCs/>
          <w:sz w:val="24"/>
          <w:szCs w:val="24"/>
        </w:rPr>
        <w:t>Whalen v. McMullen</w:t>
      </w:r>
      <w:r w:rsidR="004C43A2" w:rsidRPr="00037EC2">
        <w:rPr>
          <w:rFonts w:ascii="Times New Roman" w:hAnsi="Times New Roman" w:cs="Times New Roman"/>
          <w:sz w:val="24"/>
          <w:szCs w:val="24"/>
        </w:rPr>
        <w:t>, 907 F.3d 1139, 1147-48 (9th Cir. 2018)).</w:t>
      </w:r>
    </w:p>
    <w:p w14:paraId="0B18F757" w14:textId="77777777" w:rsidR="00465DAF" w:rsidRPr="00465DAF" w:rsidRDefault="00465DAF" w:rsidP="00465DAF">
      <w:pPr>
        <w:autoSpaceDE w:val="0"/>
        <w:autoSpaceDN w:val="0"/>
        <w:adjustRightInd w:val="0"/>
        <w:spacing w:after="0" w:line="240" w:lineRule="auto"/>
        <w:rPr>
          <w:rFonts w:ascii="Times New Roman" w:hAnsi="Times New Roman" w:cs="Times New Roman"/>
          <w:sz w:val="24"/>
          <w:szCs w:val="24"/>
        </w:rPr>
      </w:pPr>
    </w:p>
    <w:p w14:paraId="57D588A4" w14:textId="2977A628" w:rsidR="00465DAF" w:rsidRPr="00465DAF" w:rsidRDefault="00465DAF" w:rsidP="00465DAF">
      <w:pPr>
        <w:autoSpaceDE w:val="0"/>
        <w:autoSpaceDN w:val="0"/>
        <w:adjustRightInd w:val="0"/>
        <w:spacing w:after="0" w:line="240" w:lineRule="auto"/>
        <w:jc w:val="right"/>
        <w:rPr>
          <w:rFonts w:ascii="Times New Roman" w:hAnsi="Times New Roman" w:cs="Times New Roman"/>
          <w:i/>
          <w:iCs/>
          <w:sz w:val="24"/>
          <w:szCs w:val="24"/>
        </w:rPr>
      </w:pPr>
      <w:r w:rsidRPr="00465DAF">
        <w:rPr>
          <w:rFonts w:ascii="Times New Roman" w:hAnsi="Times New Roman" w:cs="Times New Roman"/>
          <w:i/>
          <w:iCs/>
          <w:sz w:val="24"/>
          <w:szCs w:val="24"/>
        </w:rPr>
        <w:t xml:space="preserve">Revised </w:t>
      </w:r>
      <w:r w:rsidR="00162810">
        <w:rPr>
          <w:rFonts w:ascii="Times New Roman" w:hAnsi="Times New Roman" w:cs="Times New Roman"/>
          <w:i/>
          <w:iCs/>
          <w:sz w:val="24"/>
          <w:szCs w:val="24"/>
        </w:rPr>
        <w:t xml:space="preserve">March </w:t>
      </w:r>
      <w:r w:rsidR="00D11D40">
        <w:rPr>
          <w:rFonts w:ascii="Times New Roman" w:hAnsi="Times New Roman" w:cs="Times New Roman"/>
          <w:i/>
          <w:iCs/>
          <w:sz w:val="24"/>
          <w:szCs w:val="24"/>
        </w:rPr>
        <w:t>2025</w:t>
      </w:r>
    </w:p>
    <w:p w14:paraId="407F17B5" w14:textId="77777777" w:rsidR="00FE7F82" w:rsidRDefault="00FE7F82"/>
    <w:sectPr w:rsidR="00FE7F82" w:rsidSect="00465DAF">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AF"/>
    <w:rsid w:val="00037EC2"/>
    <w:rsid w:val="000473CE"/>
    <w:rsid w:val="000A0564"/>
    <w:rsid w:val="00162810"/>
    <w:rsid w:val="0018411E"/>
    <w:rsid w:val="003013C3"/>
    <w:rsid w:val="00352117"/>
    <w:rsid w:val="00392BB3"/>
    <w:rsid w:val="00410222"/>
    <w:rsid w:val="00465DAF"/>
    <w:rsid w:val="004C43A2"/>
    <w:rsid w:val="00736B60"/>
    <w:rsid w:val="00887257"/>
    <w:rsid w:val="00921DE6"/>
    <w:rsid w:val="009352FE"/>
    <w:rsid w:val="00A91D84"/>
    <w:rsid w:val="00AA38DF"/>
    <w:rsid w:val="00B613C7"/>
    <w:rsid w:val="00BE0F07"/>
    <w:rsid w:val="00D11D40"/>
    <w:rsid w:val="00FE378F"/>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0C57"/>
  <w15:chartTrackingRefBased/>
  <w15:docId w15:val="{2EDB9E37-B7F8-427E-B2ED-F604E46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0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12</cp:revision>
  <dcterms:created xsi:type="dcterms:W3CDTF">2024-02-05T18:56:00Z</dcterms:created>
  <dcterms:modified xsi:type="dcterms:W3CDTF">2025-04-25T01:03:00Z</dcterms:modified>
</cp:coreProperties>
</file>