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D894" w14:textId="03D7794B" w:rsidR="00BB00AB" w:rsidRPr="00BB00AB" w:rsidRDefault="00BB00AB" w:rsidP="00BB00AB">
      <w:pPr>
        <w:autoSpaceDE w:val="0"/>
        <w:autoSpaceDN w:val="0"/>
        <w:adjustRightInd w:val="0"/>
        <w:spacing w:after="0" w:line="240" w:lineRule="auto"/>
        <w:jc w:val="center"/>
        <w:rPr>
          <w:rFonts w:ascii="Times New Roman" w:hAnsi="Times New Roman" w:cs="Times New Roman"/>
          <w:kern w:val="0"/>
          <w:sz w:val="24"/>
          <w:szCs w:val="24"/>
        </w:rPr>
      </w:pPr>
      <w:r w:rsidRPr="00BB00AB">
        <w:rPr>
          <w:rFonts w:ascii="Times New Roman" w:hAnsi="Times New Roman" w:cs="Times New Roman"/>
          <w:kern w:val="0"/>
          <w:sz w:val="24"/>
          <w:szCs w:val="24"/>
          <w:lang w:val="en-CA"/>
        </w:rPr>
        <w:fldChar w:fldCharType="begin"/>
      </w:r>
      <w:r w:rsidRPr="00BB00AB">
        <w:rPr>
          <w:rFonts w:ascii="Times New Roman" w:hAnsi="Times New Roman" w:cs="Times New Roman"/>
          <w:kern w:val="0"/>
          <w:sz w:val="24"/>
          <w:szCs w:val="24"/>
          <w:lang w:val="en-CA"/>
        </w:rPr>
        <w:instrText xml:space="preserve"> SEQ CHAPTER \h \r 1</w:instrText>
      </w:r>
      <w:r w:rsidRPr="00BB00AB">
        <w:rPr>
          <w:rFonts w:ascii="Times New Roman" w:hAnsi="Times New Roman" w:cs="Times New Roman"/>
          <w:kern w:val="0"/>
          <w:sz w:val="24"/>
          <w:szCs w:val="24"/>
          <w:lang w:val="en-CA"/>
        </w:rPr>
        <w:fldChar w:fldCharType="end"/>
      </w:r>
      <w:proofErr w:type="gramStart"/>
      <w:r w:rsidRPr="00BB00AB">
        <w:rPr>
          <w:rFonts w:ascii="Times New Roman" w:hAnsi="Times New Roman" w:cs="Times New Roman"/>
          <w:b/>
          <w:bCs/>
          <w:kern w:val="0"/>
          <w:sz w:val="24"/>
          <w:szCs w:val="24"/>
        </w:rPr>
        <w:t xml:space="preserve">9.18  </w:t>
      </w:r>
      <w:bookmarkStart w:id="0" w:name="_Hlk165539897"/>
      <w:r w:rsidRPr="00BB00AB">
        <w:rPr>
          <w:rFonts w:ascii="Times New Roman" w:hAnsi="Times New Roman" w:cs="Times New Roman"/>
          <w:b/>
          <w:bCs/>
          <w:kern w:val="0"/>
          <w:sz w:val="24"/>
          <w:szCs w:val="24"/>
        </w:rPr>
        <w:t>Particular</w:t>
      </w:r>
      <w:proofErr w:type="gramEnd"/>
      <w:r w:rsidRPr="00BB00AB">
        <w:rPr>
          <w:rFonts w:ascii="Times New Roman" w:hAnsi="Times New Roman" w:cs="Times New Roman"/>
          <w:b/>
          <w:bCs/>
          <w:kern w:val="0"/>
          <w:sz w:val="24"/>
          <w:szCs w:val="24"/>
        </w:rPr>
        <w:t xml:space="preserve"> Rights—Fourth Amendment—Unreasonable Seizure </w:t>
      </w:r>
      <w:r>
        <w:rPr>
          <w:rFonts w:ascii="Times New Roman" w:hAnsi="Times New Roman" w:cs="Times New Roman"/>
          <w:b/>
          <w:bCs/>
          <w:kern w:val="0"/>
          <w:sz w:val="24"/>
          <w:szCs w:val="24"/>
        </w:rPr>
        <w:t>o</w:t>
      </w:r>
      <w:r w:rsidRPr="00BB00AB">
        <w:rPr>
          <w:rFonts w:ascii="Times New Roman" w:hAnsi="Times New Roman" w:cs="Times New Roman"/>
          <w:b/>
          <w:bCs/>
          <w:kern w:val="0"/>
          <w:sz w:val="24"/>
          <w:szCs w:val="24"/>
        </w:rPr>
        <w:t>f Property—Generally</w:t>
      </w:r>
    </w:p>
    <w:bookmarkEnd w:id="0"/>
    <w:p w14:paraId="732F903C"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02BD5259" w14:textId="50F97474" w:rsidR="00BB00AB" w:rsidRPr="00BB00AB" w:rsidRDefault="00BB00AB" w:rsidP="00BB00AB">
      <w:pPr>
        <w:autoSpaceDE w:val="0"/>
        <w:autoSpaceDN w:val="0"/>
        <w:adjustRightInd w:val="0"/>
        <w:spacing w:after="0" w:line="240" w:lineRule="auto"/>
        <w:rPr>
          <w:rFonts w:ascii="Times New Roman" w:hAnsi="Times New Roman" w:cs="Times New Roman"/>
          <w:b/>
          <w:bCs/>
          <w:kern w:val="0"/>
          <w:sz w:val="24"/>
          <w:szCs w:val="24"/>
        </w:rPr>
      </w:pPr>
      <w:r w:rsidRPr="00BB00AB">
        <w:rPr>
          <w:rFonts w:ascii="Times New Roman" w:hAnsi="Times New Roman" w:cs="Times New Roman"/>
          <w:kern w:val="0"/>
          <w:sz w:val="24"/>
          <w:szCs w:val="24"/>
        </w:rPr>
        <w:tab/>
        <w:t>As previously explained, the plaintiff has the burden of proving that the act[s] of the defendant[s] [</w:t>
      </w:r>
      <w:r w:rsidRPr="00BB00AB">
        <w:rPr>
          <w:rFonts w:ascii="Times New Roman" w:hAnsi="Times New Roman" w:cs="Times New Roman"/>
          <w:i/>
          <w:iCs/>
          <w:kern w:val="0"/>
          <w:sz w:val="24"/>
          <w:szCs w:val="24"/>
          <w:u w:val="single"/>
        </w:rPr>
        <w:t>name[s]</w:t>
      </w:r>
      <w:r w:rsidRPr="00BB00AB">
        <w:rPr>
          <w:rFonts w:ascii="Times New Roman" w:hAnsi="Times New Roman" w:cs="Times New Roman"/>
          <w:kern w:val="0"/>
          <w:sz w:val="24"/>
          <w:szCs w:val="24"/>
        </w:rPr>
        <w:t xml:space="preserve">] deprived the plaintiff of particular rights under the United States Constitution.  In this case, the plaintiff alleges the defendant deprived </w:t>
      </w:r>
      <w:r>
        <w:rPr>
          <w:rFonts w:ascii="Times New Roman" w:hAnsi="Times New Roman" w:cs="Times New Roman"/>
          <w:kern w:val="0"/>
          <w:sz w:val="24"/>
          <w:szCs w:val="24"/>
        </w:rPr>
        <w:t>the plaintiff</w:t>
      </w:r>
      <w:r w:rsidRPr="00BB00AB">
        <w:rPr>
          <w:rFonts w:ascii="Times New Roman" w:hAnsi="Times New Roman" w:cs="Times New Roman"/>
          <w:kern w:val="0"/>
          <w:sz w:val="24"/>
          <w:szCs w:val="24"/>
        </w:rPr>
        <w:t xml:space="preserve"> of rights under the Fourth Amendment to the Constitution when [</w:t>
      </w:r>
      <w:r w:rsidRPr="00BB00AB">
        <w:rPr>
          <w:rFonts w:ascii="Times New Roman" w:hAnsi="Times New Roman" w:cs="Times New Roman"/>
          <w:i/>
          <w:iCs/>
          <w:kern w:val="0"/>
          <w:sz w:val="24"/>
          <w:szCs w:val="24"/>
          <w:u w:val="single"/>
        </w:rPr>
        <w:t>insert factual basis of the plaintiff’s claim</w:t>
      </w:r>
      <w:r w:rsidRPr="00BB00AB">
        <w:rPr>
          <w:rFonts w:ascii="Times New Roman" w:hAnsi="Times New Roman" w:cs="Times New Roman"/>
          <w:kern w:val="0"/>
          <w:sz w:val="24"/>
          <w:szCs w:val="24"/>
        </w:rPr>
        <w:t xml:space="preserve">].  </w:t>
      </w:r>
    </w:p>
    <w:p w14:paraId="340CE03F"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D03A867" w14:textId="0CF55CFC"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Under the Fourth Amendment, a person has the right to be free from an unreasonable seizure of </w:t>
      </w:r>
      <w:r>
        <w:rPr>
          <w:rFonts w:ascii="Times New Roman" w:hAnsi="Times New Roman" w:cs="Times New Roman"/>
          <w:kern w:val="0"/>
          <w:sz w:val="24"/>
          <w:szCs w:val="24"/>
        </w:rPr>
        <w:t>the person’s</w:t>
      </w:r>
      <w:r w:rsidRPr="00BB00AB">
        <w:rPr>
          <w:rFonts w:ascii="Times New Roman" w:hAnsi="Times New Roman" w:cs="Times New Roman"/>
          <w:kern w:val="0"/>
          <w:sz w:val="24"/>
          <w:szCs w:val="24"/>
        </w:rPr>
        <w:t xml:space="preserve"> property.  In order to prove the defendant[s] deprived the plaintiff of this Fourth Amendment right, the plaintiff must prove the following additional elements by a preponderance of the evidence:</w:t>
      </w:r>
    </w:p>
    <w:p w14:paraId="40606E41"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4E7290C0" w14:textId="77777777" w:rsidR="00BB00AB" w:rsidRPr="00BB00AB" w:rsidRDefault="00BB00AB" w:rsidP="00BB00AB">
      <w:pPr>
        <w:tabs>
          <w:tab w:val="left" w:pos="720"/>
          <w:tab w:val="left" w:pos="1440"/>
        </w:tabs>
        <w:autoSpaceDE w:val="0"/>
        <w:autoSpaceDN w:val="0"/>
        <w:adjustRightInd w:val="0"/>
        <w:spacing w:after="0" w:line="240" w:lineRule="auto"/>
        <w:ind w:left="1440" w:hanging="720"/>
        <w:rPr>
          <w:rFonts w:ascii="Times New Roman" w:hAnsi="Times New Roman" w:cs="Times New Roman"/>
          <w:kern w:val="0"/>
          <w:sz w:val="24"/>
          <w:szCs w:val="24"/>
        </w:rPr>
      </w:pPr>
      <w:r w:rsidRPr="00BB00AB">
        <w:rPr>
          <w:rFonts w:ascii="Times New Roman" w:hAnsi="Times New Roman" w:cs="Times New Roman"/>
          <w:kern w:val="0"/>
          <w:sz w:val="24"/>
          <w:szCs w:val="24"/>
        </w:rPr>
        <w:t>1.</w:t>
      </w:r>
      <w:r w:rsidRPr="00BB00AB">
        <w:rPr>
          <w:rFonts w:ascii="Times New Roman" w:hAnsi="Times New Roman" w:cs="Times New Roman"/>
          <w:kern w:val="0"/>
          <w:sz w:val="24"/>
          <w:szCs w:val="24"/>
        </w:rPr>
        <w:tab/>
        <w:t>[</w:t>
      </w:r>
      <w:r w:rsidRPr="00BB00AB">
        <w:rPr>
          <w:rFonts w:ascii="Times New Roman" w:hAnsi="Times New Roman" w:cs="Times New Roman"/>
          <w:i/>
          <w:iCs/>
          <w:kern w:val="0"/>
          <w:sz w:val="24"/>
          <w:szCs w:val="24"/>
          <w:u w:val="single"/>
        </w:rPr>
        <w:t>name[s] of applicable defendant[s]</w:t>
      </w:r>
      <w:r w:rsidRPr="00BB00AB">
        <w:rPr>
          <w:rFonts w:ascii="Times New Roman" w:hAnsi="Times New Roman" w:cs="Times New Roman"/>
          <w:kern w:val="0"/>
          <w:sz w:val="24"/>
          <w:szCs w:val="24"/>
        </w:rPr>
        <w:t xml:space="preserve">] seized the plaintiff’s </w:t>
      </w:r>
      <w:proofErr w:type="gramStart"/>
      <w:r w:rsidRPr="00BB00AB">
        <w:rPr>
          <w:rFonts w:ascii="Times New Roman" w:hAnsi="Times New Roman" w:cs="Times New Roman"/>
          <w:kern w:val="0"/>
          <w:sz w:val="24"/>
          <w:szCs w:val="24"/>
        </w:rPr>
        <w:t>property;</w:t>
      </w:r>
      <w:proofErr w:type="gramEnd"/>
    </w:p>
    <w:p w14:paraId="1C27E720"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41DA7424" w14:textId="77777777" w:rsidR="00BB00AB" w:rsidRPr="00BB00AB" w:rsidRDefault="00BB00AB" w:rsidP="00BB00AB">
      <w:pPr>
        <w:tabs>
          <w:tab w:val="left" w:pos="720"/>
          <w:tab w:val="left" w:pos="1440"/>
        </w:tabs>
        <w:autoSpaceDE w:val="0"/>
        <w:autoSpaceDN w:val="0"/>
        <w:adjustRightInd w:val="0"/>
        <w:spacing w:after="0" w:line="240" w:lineRule="auto"/>
        <w:ind w:left="1440" w:hanging="720"/>
        <w:rPr>
          <w:rFonts w:ascii="Times New Roman" w:hAnsi="Times New Roman" w:cs="Times New Roman"/>
          <w:kern w:val="0"/>
          <w:sz w:val="24"/>
          <w:szCs w:val="24"/>
        </w:rPr>
      </w:pPr>
      <w:r w:rsidRPr="00BB00AB">
        <w:rPr>
          <w:rFonts w:ascii="Times New Roman" w:hAnsi="Times New Roman" w:cs="Times New Roman"/>
          <w:kern w:val="0"/>
          <w:sz w:val="24"/>
          <w:szCs w:val="24"/>
        </w:rPr>
        <w:t>2.</w:t>
      </w:r>
      <w:r w:rsidRPr="00BB00AB">
        <w:rPr>
          <w:rFonts w:ascii="Times New Roman" w:hAnsi="Times New Roman" w:cs="Times New Roman"/>
          <w:kern w:val="0"/>
          <w:sz w:val="24"/>
          <w:szCs w:val="24"/>
        </w:rPr>
        <w:tab/>
        <w:t>in seizing the plaintiff’s property, [</w:t>
      </w:r>
      <w:r w:rsidRPr="00BB00AB">
        <w:rPr>
          <w:rFonts w:ascii="Times New Roman" w:hAnsi="Times New Roman" w:cs="Times New Roman"/>
          <w:i/>
          <w:iCs/>
          <w:kern w:val="0"/>
          <w:sz w:val="24"/>
          <w:szCs w:val="24"/>
          <w:u w:val="single"/>
        </w:rPr>
        <w:t>names of same person[s]</w:t>
      </w:r>
      <w:r w:rsidRPr="00BB00AB">
        <w:rPr>
          <w:rFonts w:ascii="Times New Roman" w:hAnsi="Times New Roman" w:cs="Times New Roman"/>
          <w:kern w:val="0"/>
          <w:sz w:val="24"/>
          <w:szCs w:val="24"/>
        </w:rPr>
        <w:t>] acted intentionally; and</w:t>
      </w:r>
    </w:p>
    <w:p w14:paraId="74A667C9"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2EE87AA3" w14:textId="77777777" w:rsidR="00BB00AB" w:rsidRPr="00BB00AB" w:rsidRDefault="00BB00AB" w:rsidP="00BB00AB">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BB00AB">
        <w:rPr>
          <w:rFonts w:ascii="Times New Roman" w:hAnsi="Times New Roman" w:cs="Times New Roman"/>
          <w:kern w:val="0"/>
          <w:sz w:val="24"/>
          <w:szCs w:val="24"/>
        </w:rPr>
        <w:tab/>
        <w:t>3.</w:t>
      </w:r>
      <w:r w:rsidRPr="00BB00AB">
        <w:rPr>
          <w:rFonts w:ascii="Times New Roman" w:hAnsi="Times New Roman" w:cs="Times New Roman"/>
          <w:kern w:val="0"/>
          <w:sz w:val="24"/>
          <w:szCs w:val="24"/>
        </w:rPr>
        <w:tab/>
        <w:t>the seizure was unreasonable.</w:t>
      </w:r>
    </w:p>
    <w:p w14:paraId="27B5995B"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7CC8FF3D"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A person “seizes” the property of the plaintiff when the person takes possession of or controls the property in a manner that meaningfully interferes with the plaintiff’s right to possess the property.</w:t>
      </w:r>
    </w:p>
    <w:p w14:paraId="45F4B66E"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580769C2" w14:textId="44FA0E4F" w:rsidR="00BB00AB" w:rsidRPr="00D40737" w:rsidRDefault="00BB00AB" w:rsidP="00BB00AB">
      <w:pPr>
        <w:autoSpaceDE w:val="0"/>
        <w:autoSpaceDN w:val="0"/>
        <w:adjustRightInd w:val="0"/>
        <w:spacing w:after="0" w:line="240" w:lineRule="auto"/>
        <w:rPr>
          <w:rFonts w:ascii="Times New Roman" w:hAnsi="Times New Roman" w:cs="Times New Roman"/>
          <w:i/>
          <w:iCs/>
          <w:kern w:val="0"/>
          <w:sz w:val="24"/>
          <w:szCs w:val="24"/>
          <w:u w:val="single"/>
        </w:rPr>
      </w:pPr>
      <w:r w:rsidRPr="00BB00AB">
        <w:rPr>
          <w:rFonts w:ascii="Times New Roman" w:hAnsi="Times New Roman" w:cs="Times New Roman"/>
          <w:kern w:val="0"/>
          <w:sz w:val="24"/>
          <w:szCs w:val="24"/>
        </w:rPr>
        <w:tab/>
        <w:t>[A person acts “</w:t>
      </w:r>
      <w:r w:rsidR="00921957" w:rsidRPr="00BB00AB">
        <w:rPr>
          <w:rFonts w:ascii="Times New Roman" w:hAnsi="Times New Roman" w:cs="Times New Roman"/>
          <w:kern w:val="0"/>
          <w:sz w:val="24"/>
          <w:szCs w:val="24"/>
        </w:rPr>
        <w:t>intentionally” when</w:t>
      </w:r>
      <w:r w:rsidRPr="00BB00AB">
        <w:rPr>
          <w:rFonts w:ascii="Times New Roman" w:hAnsi="Times New Roman" w:cs="Times New Roman"/>
          <w:kern w:val="0"/>
          <w:sz w:val="24"/>
          <w:szCs w:val="24"/>
        </w:rPr>
        <w:t xml:space="preserve"> the person acts with a conscious objective to engage in particular conduct.  Therefore, the plaintiff must prove that the defendant intended to [</w:t>
      </w:r>
      <w:r w:rsidRPr="00D40737">
        <w:rPr>
          <w:rFonts w:ascii="Times New Roman" w:hAnsi="Times New Roman" w:cs="Times New Roman"/>
          <w:i/>
          <w:iCs/>
          <w:kern w:val="0"/>
          <w:sz w:val="24"/>
          <w:szCs w:val="24"/>
          <w:u w:val="single"/>
        </w:rPr>
        <w:t>insert</w:t>
      </w:r>
    </w:p>
    <w:p w14:paraId="2F71227A"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i/>
          <w:iCs/>
          <w:kern w:val="0"/>
          <w:sz w:val="24"/>
          <w:szCs w:val="24"/>
          <w:u w:val="single"/>
        </w:rPr>
        <w:t>the factual basis for the plaintiff’s claim</w:t>
      </w:r>
      <w:r w:rsidRPr="00BB00AB">
        <w:rPr>
          <w:rFonts w:ascii="Times New Roman" w:hAnsi="Times New Roman" w:cs="Times New Roman"/>
          <w:kern w:val="0"/>
          <w:sz w:val="24"/>
          <w:szCs w:val="24"/>
        </w:rPr>
        <w:t xml:space="preserve">].  It is not enough to prove that the </w:t>
      </w:r>
      <w:proofErr w:type="gramStart"/>
      <w:r w:rsidRPr="00BB00AB">
        <w:rPr>
          <w:rFonts w:ascii="Times New Roman" w:hAnsi="Times New Roman" w:cs="Times New Roman"/>
          <w:kern w:val="0"/>
          <w:sz w:val="24"/>
          <w:szCs w:val="24"/>
        </w:rPr>
        <w:t>defendant</w:t>
      </w:r>
      <w:proofErr w:type="gramEnd"/>
    </w:p>
    <w:p w14:paraId="2244647C"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negligently or accidentally engaged in that action.  But while the plaintiff must prove that the</w:t>
      </w:r>
    </w:p>
    <w:p w14:paraId="34CFAB6F"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 xml:space="preserve">defendant intended to </w:t>
      </w:r>
      <w:proofErr w:type="gramStart"/>
      <w:r w:rsidRPr="00BB00AB">
        <w:rPr>
          <w:rFonts w:ascii="Times New Roman" w:hAnsi="Times New Roman" w:cs="Times New Roman"/>
          <w:kern w:val="0"/>
          <w:sz w:val="24"/>
          <w:szCs w:val="24"/>
        </w:rPr>
        <w:t>act,</w:t>
      </w:r>
      <w:proofErr w:type="gramEnd"/>
      <w:r w:rsidRPr="00BB00AB">
        <w:rPr>
          <w:rFonts w:ascii="Times New Roman" w:hAnsi="Times New Roman" w:cs="Times New Roman"/>
          <w:kern w:val="0"/>
          <w:sz w:val="24"/>
          <w:szCs w:val="24"/>
        </w:rPr>
        <w:t xml:space="preserve"> the plaintiff need not prove that the defendant intended to violate the</w:t>
      </w:r>
    </w:p>
    <w:p w14:paraId="1DF0989E"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plaintiff’s Fourth Amendment rights.].]</w:t>
      </w:r>
    </w:p>
    <w:p w14:paraId="321BB054" w14:textId="77777777" w:rsid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0A8F76A" w14:textId="77777777" w:rsidR="00EB4D34" w:rsidRPr="00EB4D34" w:rsidRDefault="00EB4D34" w:rsidP="00EB4D34">
      <w:pPr>
        <w:autoSpaceDE w:val="0"/>
        <w:autoSpaceDN w:val="0"/>
        <w:adjustRightInd w:val="0"/>
        <w:spacing w:after="0" w:line="240" w:lineRule="auto"/>
        <w:rPr>
          <w:rFonts w:ascii="Times New Roman" w:hAnsi="Times New Roman" w:cs="Times New Roman"/>
          <w:kern w:val="0"/>
          <w:sz w:val="24"/>
          <w:szCs w:val="24"/>
        </w:rPr>
      </w:pPr>
      <w:r w:rsidRPr="00EB4D34">
        <w:rPr>
          <w:rFonts w:ascii="Times New Roman" w:hAnsi="Times New Roman" w:cs="Times New Roman"/>
          <w:kern w:val="0"/>
          <w:sz w:val="24"/>
          <w:szCs w:val="24"/>
        </w:rPr>
        <w:tab/>
        <w:t>[A seizure done pursuant to a search warrant is “unreasonable” if the search conducted exceeds the terms of the warrant.]</w:t>
      </w:r>
    </w:p>
    <w:p w14:paraId="3C981B2D" w14:textId="77777777" w:rsidR="00EB4D34" w:rsidRPr="00BB00AB" w:rsidRDefault="00EB4D34" w:rsidP="00BB00AB">
      <w:pPr>
        <w:autoSpaceDE w:val="0"/>
        <w:autoSpaceDN w:val="0"/>
        <w:adjustRightInd w:val="0"/>
        <w:spacing w:after="0" w:line="240" w:lineRule="auto"/>
        <w:rPr>
          <w:rFonts w:ascii="Times New Roman" w:hAnsi="Times New Roman" w:cs="Times New Roman"/>
          <w:kern w:val="0"/>
          <w:sz w:val="24"/>
          <w:szCs w:val="24"/>
        </w:rPr>
      </w:pPr>
    </w:p>
    <w:p w14:paraId="6B485291" w14:textId="77777777" w:rsidR="00BB00AB" w:rsidRPr="00BB00AB" w:rsidRDefault="00BB00AB" w:rsidP="00BB00AB">
      <w:pPr>
        <w:autoSpaceDE w:val="0"/>
        <w:autoSpaceDN w:val="0"/>
        <w:adjustRightInd w:val="0"/>
        <w:spacing w:after="0" w:line="240" w:lineRule="auto"/>
        <w:jc w:val="center"/>
        <w:rPr>
          <w:rFonts w:ascii="Times New Roman" w:hAnsi="Times New Roman" w:cs="Times New Roman"/>
          <w:kern w:val="0"/>
          <w:sz w:val="24"/>
          <w:szCs w:val="24"/>
        </w:rPr>
      </w:pPr>
      <w:r w:rsidRPr="00BB00AB">
        <w:rPr>
          <w:rFonts w:ascii="Times New Roman" w:hAnsi="Times New Roman" w:cs="Times New Roman"/>
          <w:b/>
          <w:bCs/>
          <w:kern w:val="0"/>
          <w:sz w:val="24"/>
          <w:szCs w:val="24"/>
        </w:rPr>
        <w:t>Comment</w:t>
      </w:r>
    </w:p>
    <w:p w14:paraId="50946C87"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9144797"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Use this instruction only in conjunction with the applicable </w:t>
      </w:r>
      <w:proofErr w:type="gramStart"/>
      <w:r w:rsidRPr="00BB00AB">
        <w:rPr>
          <w:rFonts w:ascii="Times New Roman" w:hAnsi="Times New Roman" w:cs="Times New Roman"/>
          <w:kern w:val="0"/>
          <w:sz w:val="24"/>
          <w:szCs w:val="24"/>
        </w:rPr>
        <w:t>elements</w:t>
      </w:r>
      <w:proofErr w:type="gramEnd"/>
      <w:r w:rsidRPr="00BB00AB">
        <w:rPr>
          <w:rFonts w:ascii="Times New Roman" w:hAnsi="Times New Roman" w:cs="Times New Roman"/>
          <w:kern w:val="0"/>
          <w:sz w:val="24"/>
          <w:szCs w:val="24"/>
        </w:rPr>
        <w:t xml:space="preserve"> instructions, Instructions 9.3–9.8, and with an appropriate definition of an unreasonable seizure.  </w:t>
      </w:r>
      <w:r w:rsidRPr="00BB00AB">
        <w:rPr>
          <w:rFonts w:ascii="Times New Roman" w:hAnsi="Times New Roman" w:cs="Times New Roman"/>
          <w:i/>
          <w:iCs/>
          <w:kern w:val="0"/>
          <w:sz w:val="24"/>
          <w:szCs w:val="24"/>
        </w:rPr>
        <w:t xml:space="preserve">See </w:t>
      </w:r>
      <w:r w:rsidRPr="00BB00AB">
        <w:rPr>
          <w:rFonts w:ascii="Times New Roman" w:hAnsi="Times New Roman" w:cs="Times New Roman"/>
          <w:kern w:val="0"/>
          <w:sz w:val="24"/>
          <w:szCs w:val="24"/>
        </w:rPr>
        <w:t xml:space="preserve">Instruction 9.19 (Particular Rights—Fourth Amendment—Unreasonable Seizure of Property—Exceptions to Warrant Requirement). </w:t>
      </w:r>
    </w:p>
    <w:p w14:paraId="4A0B4FCF"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2F019DE1" w14:textId="5200CF65" w:rsid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“A ‘seizure’ of property occurs when there is some meaningful interference with an individual’s possessory interests in that property.”  </w:t>
      </w:r>
      <w:proofErr w:type="spellStart"/>
      <w:r w:rsidRPr="00BB00AB">
        <w:rPr>
          <w:rFonts w:ascii="Times New Roman" w:hAnsi="Times New Roman" w:cs="Times New Roman"/>
          <w:i/>
          <w:iCs/>
          <w:kern w:val="0"/>
          <w:sz w:val="24"/>
          <w:szCs w:val="24"/>
        </w:rPr>
        <w:t>Lavan</w:t>
      </w:r>
      <w:proofErr w:type="spellEnd"/>
      <w:r w:rsidRPr="00BB00AB">
        <w:rPr>
          <w:rFonts w:ascii="Times New Roman" w:hAnsi="Times New Roman" w:cs="Times New Roman"/>
          <w:i/>
          <w:iCs/>
          <w:kern w:val="0"/>
          <w:sz w:val="24"/>
          <w:szCs w:val="24"/>
        </w:rPr>
        <w:t xml:space="preserve"> v. City of Los Angeles</w:t>
      </w:r>
      <w:r w:rsidRPr="00BB00AB">
        <w:rPr>
          <w:rFonts w:ascii="Times New Roman" w:hAnsi="Times New Roman" w:cs="Times New Roman"/>
          <w:kern w:val="0"/>
          <w:sz w:val="24"/>
          <w:szCs w:val="24"/>
        </w:rPr>
        <w:t xml:space="preserve">, 693 F.3d 1022, 1027, 1030-33 (9th Cir. 2012) (quoting </w:t>
      </w:r>
      <w:r w:rsidRPr="00BB00AB">
        <w:rPr>
          <w:rFonts w:ascii="Times New Roman" w:hAnsi="Times New Roman" w:cs="Times New Roman"/>
          <w:i/>
          <w:iCs/>
          <w:kern w:val="0"/>
          <w:sz w:val="24"/>
          <w:szCs w:val="24"/>
        </w:rPr>
        <w:t>United States v. Jacobsen</w:t>
      </w:r>
      <w:r w:rsidRPr="00BB00AB">
        <w:rPr>
          <w:rFonts w:ascii="Times New Roman" w:hAnsi="Times New Roman" w:cs="Times New Roman"/>
          <w:kern w:val="0"/>
          <w:sz w:val="24"/>
          <w:szCs w:val="24"/>
        </w:rPr>
        <w:t xml:space="preserve">, 466 U.S. 109, 113 (1984)) (recognizing homeless person’s possessory interest in unabandoned property left temporarily unattended, even if person, who was in violation of city ordinance prohibiting leaving of any </w:t>
      </w:r>
      <w:r w:rsidRPr="00BB00AB">
        <w:rPr>
          <w:rFonts w:ascii="Times New Roman" w:hAnsi="Times New Roman" w:cs="Times New Roman"/>
          <w:kern w:val="0"/>
          <w:sz w:val="24"/>
          <w:szCs w:val="24"/>
        </w:rPr>
        <w:lastRenderedPageBreak/>
        <w:t xml:space="preserve">personal property on public sidewalk, could not be said to have had expectation of privacy); </w:t>
      </w:r>
      <w:r w:rsidRPr="00BB00AB">
        <w:rPr>
          <w:rFonts w:ascii="Times New Roman" w:hAnsi="Times New Roman" w:cs="Times New Roman"/>
          <w:i/>
          <w:iCs/>
          <w:kern w:val="0"/>
          <w:sz w:val="24"/>
          <w:szCs w:val="24"/>
        </w:rPr>
        <w:t>see United States v. Baker</w:t>
      </w:r>
      <w:r w:rsidRPr="00BB00AB">
        <w:rPr>
          <w:rFonts w:ascii="Times New Roman" w:hAnsi="Times New Roman" w:cs="Times New Roman"/>
          <w:kern w:val="0"/>
          <w:sz w:val="24"/>
          <w:szCs w:val="24"/>
        </w:rPr>
        <w:t>, 58 F.4th 1109, 1116 (9th Cir. 2023);</w:t>
      </w:r>
      <w:r>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see also</w:t>
      </w:r>
      <w:r w:rsidRPr="00BB00AB">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Patel v. City of Los Angeles.</w:t>
      </w:r>
      <w:r w:rsidRPr="00BB00AB">
        <w:rPr>
          <w:rFonts w:ascii="Times New Roman" w:hAnsi="Times New Roman" w:cs="Times New Roman"/>
          <w:kern w:val="0"/>
          <w:sz w:val="24"/>
          <w:szCs w:val="24"/>
        </w:rPr>
        <w:t>, 738 F.3d 1058, 1061-62 (9th Cir. 2013) (</w:t>
      </w:r>
      <w:proofErr w:type="spellStart"/>
      <w:r w:rsidRPr="00BB00AB">
        <w:rPr>
          <w:rFonts w:ascii="Times New Roman" w:hAnsi="Times New Roman" w:cs="Times New Roman"/>
          <w:kern w:val="0"/>
          <w:sz w:val="24"/>
          <w:szCs w:val="24"/>
        </w:rPr>
        <w:t>en</w:t>
      </w:r>
      <w:proofErr w:type="spellEnd"/>
      <w:r w:rsidRPr="00BB00AB">
        <w:rPr>
          <w:rFonts w:ascii="Times New Roman" w:hAnsi="Times New Roman" w:cs="Times New Roman"/>
          <w:kern w:val="0"/>
          <w:sz w:val="24"/>
          <w:szCs w:val="24"/>
        </w:rPr>
        <w:t xml:space="preserve"> banc) (citing </w:t>
      </w:r>
      <w:r w:rsidRPr="00BB00AB">
        <w:rPr>
          <w:rFonts w:ascii="Times New Roman" w:hAnsi="Times New Roman" w:cs="Times New Roman"/>
          <w:i/>
          <w:iCs/>
          <w:kern w:val="0"/>
          <w:sz w:val="24"/>
          <w:szCs w:val="24"/>
        </w:rPr>
        <w:t xml:space="preserve">Florida v. </w:t>
      </w:r>
      <w:proofErr w:type="spellStart"/>
      <w:r w:rsidRPr="00BB00AB">
        <w:rPr>
          <w:rFonts w:ascii="Times New Roman" w:hAnsi="Times New Roman" w:cs="Times New Roman"/>
          <w:i/>
          <w:iCs/>
          <w:kern w:val="0"/>
          <w:sz w:val="24"/>
          <w:szCs w:val="24"/>
        </w:rPr>
        <w:t>Jardines</w:t>
      </w:r>
      <w:proofErr w:type="spellEnd"/>
      <w:r w:rsidRPr="00BB00AB">
        <w:rPr>
          <w:rFonts w:ascii="Times New Roman" w:hAnsi="Times New Roman" w:cs="Times New Roman"/>
          <w:kern w:val="0"/>
          <w:sz w:val="24"/>
          <w:szCs w:val="24"/>
        </w:rPr>
        <w:t xml:space="preserve">, 569 U.S. 1, 12-13 (2013)) (Kagan, J., concurring)) (recognizing hotel’s property and privacy interest in guest records “are more than sufficient to trigger Fourth Amendment protection”).  </w:t>
      </w:r>
      <w:proofErr w:type="spellStart"/>
      <w:r w:rsidR="00EB4D34" w:rsidRPr="00EB4D34">
        <w:rPr>
          <w:rFonts w:ascii="Times New Roman" w:hAnsi="Times New Roman" w:cs="Times New Roman"/>
          <w:i/>
          <w:iCs/>
          <w:kern w:val="0"/>
          <w:sz w:val="24"/>
          <w:szCs w:val="24"/>
        </w:rPr>
        <w:t>Snitko</w:t>
      </w:r>
      <w:proofErr w:type="spellEnd"/>
      <w:r w:rsidR="00EB4D34" w:rsidRPr="00EB4D34">
        <w:rPr>
          <w:rFonts w:ascii="Times New Roman" w:hAnsi="Times New Roman" w:cs="Times New Roman"/>
          <w:i/>
          <w:iCs/>
          <w:kern w:val="0"/>
          <w:sz w:val="24"/>
          <w:szCs w:val="24"/>
        </w:rPr>
        <w:t xml:space="preserve"> v. United States,</w:t>
      </w:r>
      <w:r w:rsidR="00EB4D34" w:rsidRPr="00EB4D34">
        <w:rPr>
          <w:rFonts w:ascii="Times New Roman" w:hAnsi="Times New Roman" w:cs="Times New Roman"/>
          <w:kern w:val="0"/>
          <w:sz w:val="24"/>
          <w:szCs w:val="24"/>
        </w:rPr>
        <w:t xml:space="preserve"> 90 F.4th 1250, 1263 (9th Cir. 2024)</w:t>
      </w:r>
      <w:r w:rsidR="00EB4D34">
        <w:rPr>
          <w:rFonts w:ascii="Times New Roman" w:hAnsi="Times New Roman" w:cs="Times New Roman"/>
          <w:kern w:val="0"/>
          <w:sz w:val="24"/>
          <w:szCs w:val="24"/>
        </w:rPr>
        <w:t xml:space="preserve"> </w:t>
      </w:r>
      <w:proofErr w:type="gramStart"/>
      <w:r w:rsidR="00EB4D34" w:rsidRPr="00EB4D34">
        <w:rPr>
          <w:rFonts w:ascii="Times New Roman" w:hAnsi="Times New Roman" w:cs="Times New Roman"/>
          <w:kern w:val="0"/>
          <w:sz w:val="24"/>
          <w:szCs w:val="24"/>
        </w:rPr>
        <w:t>( “</w:t>
      </w:r>
      <w:proofErr w:type="gramEnd"/>
      <w:r w:rsidR="00EB4D34" w:rsidRPr="00EB4D34">
        <w:rPr>
          <w:rFonts w:ascii="Times New Roman" w:hAnsi="Times New Roman" w:cs="Times New Roman"/>
          <w:kern w:val="0"/>
          <w:sz w:val="24"/>
          <w:szCs w:val="24"/>
        </w:rPr>
        <w:t>[T]o determine whether the government exceeded the scope of a warrant, we compare the terms of the warrant to the search actually conducted.”).</w:t>
      </w:r>
    </w:p>
    <w:p w14:paraId="7CCC2F51"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1DA0A978" w14:textId="77777777" w:rsidR="00BB00AB" w:rsidRPr="00BB00AB" w:rsidRDefault="00BB00AB" w:rsidP="00BB00AB">
      <w:pPr>
        <w:autoSpaceDE w:val="0"/>
        <w:autoSpaceDN w:val="0"/>
        <w:adjustRightInd w:val="0"/>
        <w:spacing w:after="0" w:line="240" w:lineRule="auto"/>
        <w:ind w:firstLine="720"/>
        <w:rPr>
          <w:rFonts w:ascii="Times New Roman" w:hAnsi="Times New Roman" w:cs="Times New Roman"/>
          <w:kern w:val="0"/>
          <w:sz w:val="24"/>
          <w:szCs w:val="24"/>
        </w:rPr>
      </w:pPr>
      <w:r w:rsidRPr="00BB00AB">
        <w:rPr>
          <w:rFonts w:ascii="Times New Roman" w:hAnsi="Times New Roman" w:cs="Times New Roman"/>
          <w:kern w:val="0"/>
          <w:sz w:val="24"/>
          <w:szCs w:val="24"/>
        </w:rPr>
        <w:t xml:space="preserve">“The destruction of property has long been recognized as a seizure.”  </w:t>
      </w:r>
      <w:r w:rsidRPr="00BB00AB">
        <w:rPr>
          <w:rFonts w:ascii="Times New Roman" w:hAnsi="Times New Roman" w:cs="Times New Roman"/>
          <w:i/>
          <w:iCs/>
          <w:kern w:val="0"/>
          <w:sz w:val="24"/>
          <w:szCs w:val="24"/>
        </w:rPr>
        <w:t>Garcia v. City of Los Angeles</w:t>
      </w:r>
      <w:r w:rsidRPr="00BB00AB">
        <w:rPr>
          <w:rFonts w:ascii="Times New Roman" w:hAnsi="Times New Roman" w:cs="Times New Roman"/>
          <w:kern w:val="0"/>
          <w:sz w:val="24"/>
          <w:szCs w:val="24"/>
        </w:rPr>
        <w:t xml:space="preserve">, 11 F.4th 1113, 1118 (9th Cir. 2021) (citing </w:t>
      </w:r>
      <w:r w:rsidRPr="00BB00AB">
        <w:rPr>
          <w:rFonts w:ascii="Times New Roman" w:hAnsi="Times New Roman" w:cs="Times New Roman"/>
          <w:i/>
          <w:iCs/>
          <w:kern w:val="0"/>
          <w:sz w:val="24"/>
          <w:szCs w:val="24"/>
        </w:rPr>
        <w:t>Jacobsen</w:t>
      </w:r>
      <w:r w:rsidRPr="00BB00AB">
        <w:rPr>
          <w:rFonts w:ascii="Times New Roman" w:hAnsi="Times New Roman" w:cs="Times New Roman"/>
          <w:kern w:val="0"/>
          <w:sz w:val="24"/>
          <w:szCs w:val="24"/>
        </w:rPr>
        <w:t>, 466 U.S. at 124–25).</w:t>
      </w:r>
    </w:p>
    <w:p w14:paraId="6C1286DE"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FE65B08" w14:textId="18BC7D13" w:rsidR="00BB00AB" w:rsidRDefault="00BB00AB" w:rsidP="00325FAD">
      <w:pPr>
        <w:autoSpaceDE w:val="0"/>
        <w:autoSpaceDN w:val="0"/>
        <w:adjustRightInd w:val="0"/>
        <w:spacing w:after="0" w:line="240" w:lineRule="auto"/>
        <w:ind w:firstLine="720"/>
        <w:rPr>
          <w:rFonts w:ascii="Times New Roman" w:hAnsi="Times New Roman" w:cs="Times New Roman"/>
          <w:kern w:val="0"/>
          <w:sz w:val="24"/>
          <w:szCs w:val="24"/>
        </w:rPr>
      </w:pPr>
      <w:r w:rsidRPr="00BB00AB">
        <w:rPr>
          <w:rFonts w:ascii="Times New Roman" w:hAnsi="Times New Roman" w:cs="Times New Roman"/>
          <w:kern w:val="0"/>
          <w:sz w:val="24"/>
          <w:szCs w:val="24"/>
        </w:rPr>
        <w:t xml:space="preserve">A seizure lawful at its inception can nevertheless violate the Fourth Amendment if its manner of execution unreasonably infringes possessory interests.  </w:t>
      </w:r>
      <w:r w:rsidRPr="00BB00AB">
        <w:rPr>
          <w:rFonts w:ascii="Times New Roman" w:hAnsi="Times New Roman" w:cs="Times New Roman"/>
          <w:i/>
          <w:iCs/>
          <w:kern w:val="0"/>
          <w:sz w:val="24"/>
          <w:szCs w:val="24"/>
        </w:rPr>
        <w:t>Brewster v. Beck</w:t>
      </w:r>
      <w:r w:rsidRPr="00BB00AB">
        <w:rPr>
          <w:rFonts w:ascii="Times New Roman" w:hAnsi="Times New Roman" w:cs="Times New Roman"/>
          <w:kern w:val="0"/>
          <w:sz w:val="24"/>
          <w:szCs w:val="24"/>
        </w:rPr>
        <w:t xml:space="preserve">, 859 F.3d 1194, 1196-97 (9th Cir. 2017) (“The Fourth Amendment doesn’t become irrelevant once an initial seizure has run its course.”); </w:t>
      </w:r>
      <w:r>
        <w:rPr>
          <w:rFonts w:ascii="Times New Roman" w:hAnsi="Times New Roman" w:cs="Times New Roman"/>
          <w:i/>
          <w:iCs/>
          <w:kern w:val="0"/>
          <w:sz w:val="24"/>
          <w:szCs w:val="24"/>
        </w:rPr>
        <w:t>s</w:t>
      </w:r>
      <w:r w:rsidRPr="00BB00AB">
        <w:rPr>
          <w:rFonts w:ascii="Times New Roman" w:hAnsi="Times New Roman" w:cs="Times New Roman"/>
          <w:i/>
          <w:iCs/>
          <w:kern w:val="0"/>
          <w:sz w:val="24"/>
          <w:szCs w:val="24"/>
        </w:rPr>
        <w:t xml:space="preserve">ee also Sandoval v. </w:t>
      </w:r>
      <w:proofErr w:type="spellStart"/>
      <w:r w:rsidRPr="00BB00AB">
        <w:rPr>
          <w:rFonts w:ascii="Times New Roman" w:hAnsi="Times New Roman" w:cs="Times New Roman"/>
          <w:i/>
          <w:iCs/>
          <w:kern w:val="0"/>
          <w:sz w:val="24"/>
          <w:szCs w:val="24"/>
        </w:rPr>
        <w:t>Cnty</w:t>
      </w:r>
      <w:proofErr w:type="spellEnd"/>
      <w:r>
        <w:rPr>
          <w:rFonts w:ascii="Times New Roman" w:hAnsi="Times New Roman" w:cs="Times New Roman"/>
          <w:i/>
          <w:iCs/>
          <w:kern w:val="0"/>
          <w:sz w:val="24"/>
          <w:szCs w:val="24"/>
        </w:rPr>
        <w:t>.</w:t>
      </w:r>
      <w:r w:rsidRPr="00BB00AB">
        <w:rPr>
          <w:rFonts w:ascii="Times New Roman" w:hAnsi="Times New Roman" w:cs="Times New Roman"/>
          <w:i/>
          <w:iCs/>
          <w:kern w:val="0"/>
          <w:sz w:val="24"/>
          <w:szCs w:val="24"/>
        </w:rPr>
        <w:t xml:space="preserve"> of Sonoma</w:t>
      </w:r>
      <w:r w:rsidRPr="00BB00AB">
        <w:rPr>
          <w:rFonts w:ascii="Times New Roman" w:hAnsi="Times New Roman" w:cs="Times New Roman"/>
          <w:kern w:val="0"/>
          <w:sz w:val="24"/>
          <w:szCs w:val="24"/>
        </w:rPr>
        <w:t>, 912 F.3d 509, 516 (9th Cir. 2018)</w:t>
      </w:r>
      <w:r>
        <w:rPr>
          <w:rFonts w:ascii="Times New Roman" w:hAnsi="Times New Roman" w:cs="Times New Roman"/>
          <w:kern w:val="0"/>
          <w:sz w:val="24"/>
          <w:szCs w:val="24"/>
        </w:rPr>
        <w:t xml:space="preserve"> </w:t>
      </w:r>
      <w:r w:rsidRPr="00BB00AB">
        <w:rPr>
          <w:rFonts w:ascii="Times New Roman" w:hAnsi="Times New Roman" w:cs="Times New Roman"/>
          <w:kern w:val="0"/>
          <w:sz w:val="24"/>
          <w:szCs w:val="24"/>
        </w:rPr>
        <w:t>(holding that community caretaking exception to warrant requirement does not</w:t>
      </w:r>
      <w:r>
        <w:rPr>
          <w:rFonts w:ascii="Times New Roman" w:hAnsi="Times New Roman" w:cs="Times New Roman"/>
          <w:kern w:val="0"/>
          <w:sz w:val="24"/>
          <w:szCs w:val="24"/>
        </w:rPr>
        <w:t xml:space="preserve"> </w:t>
      </w:r>
      <w:r w:rsidRPr="00BB00AB">
        <w:rPr>
          <w:rFonts w:ascii="Times New Roman" w:hAnsi="Times New Roman" w:cs="Times New Roman"/>
          <w:kern w:val="0"/>
          <w:sz w:val="24"/>
          <w:szCs w:val="24"/>
        </w:rPr>
        <w:t>categorically permit government officials to retain impounded private property</w:t>
      </w:r>
      <w:proofErr w:type="gramStart"/>
      <w:r w:rsidRPr="00BB00AB">
        <w:rPr>
          <w:rFonts w:ascii="Times New Roman" w:hAnsi="Times New Roman" w:cs="Times New Roman"/>
          <w:kern w:val="0"/>
          <w:sz w:val="24"/>
          <w:szCs w:val="24"/>
        </w:rPr>
        <w:t>).“</w:t>
      </w:r>
      <w:proofErr w:type="gramEnd"/>
      <w:r w:rsidRPr="00BB00AB">
        <w:rPr>
          <w:rFonts w:ascii="Times New Roman" w:hAnsi="Times New Roman" w:cs="Times New Roman"/>
          <w:kern w:val="0"/>
          <w:sz w:val="24"/>
          <w:szCs w:val="24"/>
        </w:rPr>
        <w:t xml:space="preserve">The impoundment of an automobile is a seizure within the meaning of the Fourth Amendment.”  </w:t>
      </w:r>
      <w:r w:rsidRPr="00BB00AB">
        <w:rPr>
          <w:rFonts w:ascii="Times New Roman" w:hAnsi="Times New Roman" w:cs="Times New Roman"/>
          <w:i/>
          <w:iCs/>
          <w:kern w:val="0"/>
          <w:sz w:val="24"/>
          <w:szCs w:val="24"/>
        </w:rPr>
        <w:t>Miranda v. City of Cornelius</w:t>
      </w:r>
      <w:r w:rsidRPr="00BB00AB">
        <w:rPr>
          <w:rFonts w:ascii="Times New Roman" w:hAnsi="Times New Roman" w:cs="Times New Roman"/>
          <w:kern w:val="0"/>
          <w:sz w:val="24"/>
          <w:szCs w:val="24"/>
        </w:rPr>
        <w:t xml:space="preserve">, 429 F.3d 858, 862 (9th Cir. 2005); </w:t>
      </w:r>
      <w:r w:rsidRPr="00BB00AB">
        <w:rPr>
          <w:rFonts w:ascii="Times New Roman" w:hAnsi="Times New Roman" w:cs="Times New Roman"/>
          <w:i/>
          <w:iCs/>
          <w:kern w:val="0"/>
          <w:sz w:val="24"/>
          <w:szCs w:val="24"/>
        </w:rPr>
        <w:t>see, e.g.</w:t>
      </w:r>
      <w:r w:rsidRPr="00BB00AB">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Brewster</w:t>
      </w:r>
      <w:r w:rsidRPr="00BB00AB">
        <w:rPr>
          <w:rFonts w:ascii="Times New Roman" w:hAnsi="Times New Roman" w:cs="Times New Roman"/>
          <w:kern w:val="0"/>
          <w:sz w:val="24"/>
          <w:szCs w:val="24"/>
        </w:rPr>
        <w:t>, 859 F.3d at 1196-97 (holding that 30-day impound of vehicle constitutes seizure that requires compliance with Fourth Amendment).</w:t>
      </w:r>
    </w:p>
    <w:p w14:paraId="5AEF53E7"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30F00FD3" w14:textId="2A42039E"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With respect to the Fourth Amendment, the Supreme Court has defined a seizure of a person as “a governmental termination of freedom of movement </w:t>
      </w:r>
      <w:r w:rsidRPr="00BB00AB">
        <w:rPr>
          <w:rFonts w:ascii="Times New Roman" w:hAnsi="Times New Roman" w:cs="Times New Roman"/>
          <w:i/>
          <w:iCs/>
          <w:kern w:val="0"/>
          <w:sz w:val="24"/>
          <w:szCs w:val="24"/>
        </w:rPr>
        <w:t>through means intentionally applied</w:t>
      </w:r>
      <w:r w:rsidRPr="00BB00AB">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Brower v. County of Inyo</w:t>
      </w:r>
      <w:r w:rsidRPr="00BB00AB">
        <w:rPr>
          <w:rFonts w:ascii="Times New Roman" w:hAnsi="Times New Roman" w:cs="Times New Roman"/>
          <w:kern w:val="0"/>
          <w:sz w:val="24"/>
          <w:szCs w:val="24"/>
        </w:rPr>
        <w:t xml:space="preserve">, 489 U.S. 593, 596-97 (1989) (emphasis in original); </w:t>
      </w:r>
      <w:r w:rsidRPr="00BB00AB">
        <w:rPr>
          <w:rFonts w:ascii="Times New Roman" w:hAnsi="Times New Roman" w:cs="Times New Roman"/>
          <w:i/>
          <w:iCs/>
          <w:kern w:val="0"/>
          <w:sz w:val="24"/>
          <w:szCs w:val="24"/>
        </w:rPr>
        <w:t>see Torres v. Madrid</w:t>
      </w:r>
      <w:r w:rsidRPr="00BB00AB">
        <w:rPr>
          <w:rFonts w:ascii="Times New Roman" w:hAnsi="Times New Roman" w:cs="Times New Roman"/>
          <w:kern w:val="0"/>
          <w:sz w:val="24"/>
          <w:szCs w:val="24"/>
        </w:rPr>
        <w:t xml:space="preserve">, 141 S. Ct. 989, 1001 (2021) (“[A] seizure by acquisition of control involves either voluntary submission to a show of authority or the termination of freedom of movement.”); </w:t>
      </w:r>
      <w:r w:rsidRPr="00BB00AB">
        <w:rPr>
          <w:rFonts w:ascii="Times New Roman" w:hAnsi="Times New Roman" w:cs="Times New Roman"/>
          <w:i/>
          <w:iCs/>
          <w:kern w:val="0"/>
          <w:sz w:val="24"/>
          <w:szCs w:val="24"/>
        </w:rPr>
        <w:t>see also Nelson v. City of Davis</w:t>
      </w:r>
      <w:r w:rsidRPr="00BB00AB">
        <w:rPr>
          <w:rFonts w:ascii="Times New Roman" w:hAnsi="Times New Roman" w:cs="Times New Roman"/>
          <w:kern w:val="0"/>
          <w:sz w:val="24"/>
          <w:szCs w:val="24"/>
        </w:rPr>
        <w:t xml:space="preserve">, 685 F.3d 867, 876-77 (9th Cir. 2012) (discussing intent and concluding that defendant officers intentionally seized plaintiff under the Fourth Amendment).  It is well settled that “negligent acts do not incur constitutional liability.”  </w:t>
      </w:r>
      <w:proofErr w:type="spellStart"/>
      <w:r w:rsidRPr="00BB00AB">
        <w:rPr>
          <w:rFonts w:ascii="Times New Roman" w:hAnsi="Times New Roman" w:cs="Times New Roman"/>
          <w:i/>
          <w:iCs/>
          <w:kern w:val="0"/>
          <w:sz w:val="24"/>
          <w:szCs w:val="24"/>
        </w:rPr>
        <w:t>Billington</w:t>
      </w:r>
      <w:proofErr w:type="spellEnd"/>
      <w:r w:rsidRPr="00BB00AB">
        <w:rPr>
          <w:rFonts w:ascii="Times New Roman" w:hAnsi="Times New Roman" w:cs="Times New Roman"/>
          <w:i/>
          <w:iCs/>
          <w:kern w:val="0"/>
          <w:sz w:val="24"/>
          <w:szCs w:val="24"/>
        </w:rPr>
        <w:t xml:space="preserve"> v. Smith</w:t>
      </w:r>
      <w:r w:rsidRPr="00BB00AB">
        <w:rPr>
          <w:rFonts w:ascii="Times New Roman" w:hAnsi="Times New Roman" w:cs="Times New Roman"/>
          <w:kern w:val="0"/>
          <w:sz w:val="24"/>
          <w:szCs w:val="24"/>
        </w:rPr>
        <w:t xml:space="preserve">, 292 F.3d 1177, 1190 (9th Cir. 2002), </w:t>
      </w:r>
      <w:r w:rsidRPr="00BB00AB">
        <w:rPr>
          <w:rFonts w:ascii="Times New Roman" w:hAnsi="Times New Roman" w:cs="Times New Roman"/>
          <w:i/>
          <w:iCs/>
          <w:kern w:val="0"/>
          <w:sz w:val="24"/>
          <w:szCs w:val="24"/>
        </w:rPr>
        <w:t xml:space="preserve">abrogated on other grounds by </w:t>
      </w:r>
      <w:proofErr w:type="spellStart"/>
      <w:r w:rsidRPr="00BB00AB">
        <w:rPr>
          <w:rFonts w:ascii="Times New Roman" w:hAnsi="Times New Roman" w:cs="Times New Roman"/>
          <w:i/>
          <w:iCs/>
          <w:kern w:val="0"/>
          <w:sz w:val="24"/>
          <w:szCs w:val="24"/>
        </w:rPr>
        <w:t>Cnty</w:t>
      </w:r>
      <w:proofErr w:type="spellEnd"/>
      <w:r w:rsidRPr="00BB00AB">
        <w:rPr>
          <w:rFonts w:ascii="Times New Roman" w:hAnsi="Times New Roman" w:cs="Times New Roman"/>
          <w:i/>
          <w:iCs/>
          <w:kern w:val="0"/>
          <w:sz w:val="24"/>
          <w:szCs w:val="24"/>
        </w:rPr>
        <w:t>. of Los Angeles v. Mendez</w:t>
      </w:r>
      <w:r w:rsidRPr="00BB00AB">
        <w:rPr>
          <w:rFonts w:ascii="Times New Roman" w:hAnsi="Times New Roman" w:cs="Times New Roman"/>
          <w:kern w:val="0"/>
          <w:sz w:val="24"/>
          <w:szCs w:val="24"/>
        </w:rPr>
        <w:t xml:space="preserve">, 137 S. Ct. 1539 (2017); </w:t>
      </w:r>
      <w:r w:rsidRPr="00BB00AB">
        <w:rPr>
          <w:rFonts w:ascii="Times New Roman" w:hAnsi="Times New Roman" w:cs="Times New Roman"/>
          <w:i/>
          <w:iCs/>
          <w:kern w:val="0"/>
          <w:sz w:val="24"/>
          <w:szCs w:val="24"/>
        </w:rPr>
        <w:t>see Ochoa v. Pub. Consulting Grp., Inc.</w:t>
      </w:r>
      <w:r w:rsidRPr="00BB00AB">
        <w:rPr>
          <w:rFonts w:ascii="Times New Roman" w:hAnsi="Times New Roman" w:cs="Times New Roman"/>
          <w:kern w:val="0"/>
          <w:sz w:val="24"/>
          <w:szCs w:val="24"/>
        </w:rPr>
        <w:t>, 48 F.4th 1102, 1110 (9th Cir. 2022) (“‘[T]he Due Process Clause is simply not implicated by a negligent act of an official causing unintended loss of or injury to life, liberty, or property.’” (</w:t>
      </w:r>
      <w:proofErr w:type="gramStart"/>
      <w:r w:rsidRPr="00BB00AB">
        <w:rPr>
          <w:rFonts w:ascii="Times New Roman" w:hAnsi="Times New Roman" w:cs="Times New Roman"/>
          <w:kern w:val="0"/>
          <w:sz w:val="24"/>
          <w:szCs w:val="24"/>
        </w:rPr>
        <w:t>quoting</w:t>
      </w:r>
      <w:proofErr w:type="gramEnd"/>
      <w:r w:rsidRPr="00BB00AB">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Daniels v. Williams</w:t>
      </w:r>
      <w:r w:rsidRPr="00BB00AB">
        <w:rPr>
          <w:rFonts w:ascii="Times New Roman" w:hAnsi="Times New Roman" w:cs="Times New Roman"/>
          <w:kern w:val="0"/>
          <w:sz w:val="24"/>
          <w:szCs w:val="24"/>
        </w:rPr>
        <w:t>, 474 U.S. 327, 328 (1986))). The Committee assumes the same intentional mental state is required to prove a § 1983 claim based on an unreasonable seizure of property in violation of the Fourth Amendment.  Thus, this instruction includes an optional definition of the term “intentionally” for use when it would be helpful to the jury.</w:t>
      </w:r>
    </w:p>
    <w:p w14:paraId="049BE2A8"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B52F8B5" w14:textId="04214244" w:rsidR="00BB00AB" w:rsidRPr="00BB00AB" w:rsidRDefault="00BB00AB" w:rsidP="00BB00AB">
      <w:pPr>
        <w:autoSpaceDE w:val="0"/>
        <w:autoSpaceDN w:val="0"/>
        <w:adjustRightInd w:val="0"/>
        <w:spacing w:after="0" w:line="240" w:lineRule="auto"/>
        <w:jc w:val="right"/>
        <w:rPr>
          <w:rFonts w:ascii="Times New Roman" w:hAnsi="Times New Roman" w:cs="Times New Roman"/>
          <w:i/>
          <w:iCs/>
          <w:kern w:val="0"/>
          <w:sz w:val="24"/>
          <w:szCs w:val="24"/>
        </w:rPr>
      </w:pPr>
      <w:r w:rsidRPr="00BB00AB">
        <w:rPr>
          <w:rFonts w:ascii="Times New Roman" w:hAnsi="Times New Roman" w:cs="Times New Roman"/>
          <w:i/>
          <w:iCs/>
          <w:kern w:val="0"/>
          <w:sz w:val="24"/>
          <w:szCs w:val="24"/>
        </w:rPr>
        <w:t xml:space="preserve">Revised </w:t>
      </w:r>
      <w:r w:rsidR="00EB4D34">
        <w:rPr>
          <w:rFonts w:ascii="Times New Roman" w:hAnsi="Times New Roman" w:cs="Times New Roman"/>
          <w:i/>
          <w:iCs/>
          <w:kern w:val="0"/>
          <w:sz w:val="24"/>
          <w:szCs w:val="24"/>
        </w:rPr>
        <w:t>March 2024</w:t>
      </w:r>
    </w:p>
    <w:p w14:paraId="4F7B0CD9" w14:textId="77777777" w:rsidR="00FE7F82" w:rsidRDefault="00FE7F82" w:rsidP="00BB00AB">
      <w:pPr>
        <w:spacing w:after="0" w:line="240" w:lineRule="auto"/>
      </w:pPr>
    </w:p>
    <w:sectPr w:rsidR="00FE7F82" w:rsidSect="00BB00A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00AB"/>
    <w:rsid w:val="00110C97"/>
    <w:rsid w:val="002F67BB"/>
    <w:rsid w:val="00325FAD"/>
    <w:rsid w:val="007D6FBC"/>
    <w:rsid w:val="00887257"/>
    <w:rsid w:val="00921957"/>
    <w:rsid w:val="00BB00AB"/>
    <w:rsid w:val="00D40737"/>
    <w:rsid w:val="00EB4D34"/>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6A8D"/>
  <w15:docId w15:val="{267DB7B2-E36E-4EE3-B1A6-18E492DB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0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7</cp:revision>
  <dcterms:created xsi:type="dcterms:W3CDTF">2024-02-05T19:09:00Z</dcterms:created>
  <dcterms:modified xsi:type="dcterms:W3CDTF">2024-05-20T23:04:00Z</dcterms:modified>
</cp:coreProperties>
</file>