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5FEF" w14:textId="77777777" w:rsidR="00C63D25" w:rsidRPr="00C63D25" w:rsidRDefault="00C63D25" w:rsidP="00C63D25">
      <w:pPr>
        <w:autoSpaceDE w:val="0"/>
        <w:autoSpaceDN w:val="0"/>
        <w:adjustRightInd w:val="0"/>
        <w:spacing w:after="0" w:line="240" w:lineRule="auto"/>
        <w:jc w:val="center"/>
        <w:outlineLvl w:val="1"/>
        <w:rPr>
          <w:rFonts w:ascii="Times New Roman" w:eastAsia="Calibri" w:hAnsi="Times New Roman" w:cs="Times New Roman"/>
          <w:b/>
          <w:bCs/>
          <w:kern w:val="0"/>
          <w:sz w:val="24"/>
          <w:szCs w:val="24"/>
          <w14:ligatures w14:val="none"/>
        </w:rPr>
      </w:pPr>
      <w:bookmarkStart w:id="0" w:name="_Toc221525182"/>
      <w:r w:rsidRPr="00C63D25">
        <w:rPr>
          <w:rFonts w:ascii="Times New Roman" w:eastAsia="Calibri" w:hAnsi="Times New Roman" w:cs="Times New Roman"/>
          <w:b/>
          <w:bCs/>
          <w:kern w:val="0"/>
          <w:sz w:val="24"/>
          <w:szCs w:val="24"/>
          <w14:ligatures w14:val="none"/>
        </w:rPr>
        <w:t>9.18 Particular Rights—Fourth Amendment—Unreasonable Search—Exception to Warrant Requirement—Emergency Aid</w:t>
      </w:r>
      <w:bookmarkEnd w:id="0"/>
    </w:p>
    <w:p w14:paraId="1AC009B3"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440E281"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C63D25">
        <w:rPr>
          <w:rFonts w:ascii="Times New Roman" w:eastAsia="Calibri" w:hAnsi="Times New Roman" w:cs="Times New Roman"/>
          <w:kern w:val="0"/>
          <w:sz w:val="24"/>
          <w:szCs w:val="24"/>
          <w14:ligatures w14:val="none"/>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583E5DD5"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6BA28E97" w14:textId="77777777" w:rsidR="00C63D25" w:rsidRPr="00C63D25" w:rsidRDefault="00C63D25" w:rsidP="00C63D25">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sz w:val="24"/>
          <w:szCs w:val="24"/>
          <w14:ligatures w14:val="none"/>
        </w:rPr>
      </w:pPr>
      <w:r w:rsidRPr="00C63D25">
        <w:rPr>
          <w:rFonts w:ascii="Times New Roman" w:eastAsia="Calibri" w:hAnsi="Times New Roman" w:cs="Times New Roman"/>
          <w:b/>
          <w:bCs/>
          <w:kern w:val="0"/>
          <w:sz w:val="24"/>
          <w:szCs w:val="24"/>
          <w14:ligatures w14:val="none"/>
        </w:rPr>
        <w:tab/>
      </w:r>
      <w:r w:rsidRPr="00C63D25">
        <w:rPr>
          <w:rFonts w:ascii="Times New Roman" w:eastAsia="Calibri" w:hAnsi="Times New Roman" w:cs="Times New Roman"/>
          <w:kern w:val="0"/>
          <w:sz w:val="24"/>
          <w:szCs w:val="24"/>
          <w14:ligatures w14:val="none"/>
        </w:rPr>
        <w:t>(1)</w:t>
      </w:r>
      <w:r w:rsidRPr="00C63D25">
        <w:rPr>
          <w:rFonts w:ascii="Times New Roman" w:eastAsia="Calibri" w:hAnsi="Times New Roman" w:cs="Times New Roman"/>
          <w:kern w:val="0"/>
          <w:sz w:val="24"/>
          <w:szCs w:val="24"/>
          <w14:ligatures w14:val="none"/>
        </w:rPr>
        <w:tab/>
        <w:t>the officer[s] had objectively reasonable grounds at the time of the entry or the search to believe that there was an emergency at hand and there was an immediate need to protect others or themselves from serious harm; and</w:t>
      </w:r>
    </w:p>
    <w:p w14:paraId="56452B5E"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69DA05F" w14:textId="77777777" w:rsidR="00C63D25" w:rsidRPr="00C63D25" w:rsidRDefault="00C63D25" w:rsidP="00C63D25">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(2)</w:t>
      </w:r>
      <w:r w:rsidRPr="00C63D25">
        <w:rPr>
          <w:rFonts w:ascii="Times New Roman" w:eastAsia="Calibri" w:hAnsi="Times New Roman" w:cs="Times New Roman"/>
          <w:kern w:val="0"/>
          <w:sz w:val="24"/>
          <w:szCs w:val="24"/>
          <w14:ligatures w14:val="none"/>
        </w:rPr>
        <w:tab/>
        <w:t>the search’s scope and manner were reasonable to meet the need.</w:t>
      </w:r>
    </w:p>
    <w:p w14:paraId="581E3394"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9AD9128"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To prove the search in this case was unreasonable, the plaintiff [</w:t>
      </w:r>
      <w:r w:rsidRPr="00C63D25">
        <w:rPr>
          <w:rFonts w:ascii="Times New Roman" w:eastAsia="Calibri" w:hAnsi="Times New Roman" w:cs="Times New Roman"/>
          <w:i/>
          <w:iCs/>
          <w:kern w:val="0"/>
          <w:sz w:val="24"/>
          <w:szCs w:val="24"/>
          <w:u w:val="single"/>
          <w14:ligatures w14:val="none"/>
        </w:rPr>
        <w:t>name</w:t>
      </w:r>
      <w:r w:rsidRPr="00C63D25">
        <w:rPr>
          <w:rFonts w:ascii="Times New Roman" w:eastAsia="Calibri" w:hAnsi="Times New Roman" w:cs="Times New Roman"/>
          <w:kern w:val="0"/>
          <w:sz w:val="24"/>
          <w:szCs w:val="24"/>
          <w14:ligatures w14:val="none"/>
        </w:rPr>
        <w:t>] must prove by a preponderance of the evidence that this exception to the warrant requirement does not apply.</w:t>
      </w:r>
    </w:p>
    <w:p w14:paraId="32A65D96"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36103DB" w14:textId="77777777" w:rsidR="00C63D25" w:rsidRPr="00C63D25" w:rsidRDefault="00C63D25" w:rsidP="00C63D2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C63D25">
        <w:rPr>
          <w:rFonts w:ascii="Times New Roman" w:eastAsia="Calibri" w:hAnsi="Times New Roman" w:cs="Times New Roman"/>
          <w:b/>
          <w:bCs/>
          <w:kern w:val="0"/>
          <w:sz w:val="24"/>
          <w:szCs w:val="24"/>
          <w14:ligatures w14:val="none"/>
        </w:rPr>
        <w:t>Comment</w:t>
      </w:r>
    </w:p>
    <w:p w14:paraId="2BDDC386"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5A2B2C9"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Use this instruction only in conjunction with the applicable elements instructions, Instructions 9.3-9.8.</w:t>
      </w:r>
    </w:p>
    <w:p w14:paraId="7DB1B151"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4EC6AA3" w14:textId="77777777" w:rsidR="00C63D25" w:rsidRPr="00C63D25" w:rsidRDefault="00C63D25" w:rsidP="00C63D25">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 xml:space="preserve">In a multi-plaintiff or multi-defendant case, the trial judge should consider naming each individual specifically in lieu of using the generic term “officers” or “defendants.” In </w:t>
      </w:r>
      <w:proofErr w:type="spellStart"/>
      <w:r w:rsidRPr="00C63D25">
        <w:rPr>
          <w:rFonts w:ascii="Times New Roman" w:eastAsia="Calibri" w:hAnsi="Times New Roman" w:cs="Times New Roman"/>
          <w:i/>
          <w:iCs/>
          <w:kern w:val="0"/>
          <w:sz w:val="24"/>
          <w:szCs w:val="24"/>
          <w14:ligatures w14:val="none"/>
        </w:rPr>
        <w:t>Chinaryan</w:t>
      </w:r>
      <w:proofErr w:type="spellEnd"/>
      <w:r w:rsidRPr="00C63D25">
        <w:rPr>
          <w:rFonts w:ascii="Times New Roman" w:eastAsia="Calibri" w:hAnsi="Times New Roman" w:cs="Times New Roman"/>
          <w:kern w:val="0"/>
          <w:sz w:val="24"/>
          <w:szCs w:val="24"/>
          <w14:ligatures w14:val="none"/>
        </w:rPr>
        <w:t>, the Ninth Circuit explained that the jury instructions were “confusing” where the instructions stated that “to establish an unreasonable seizure in this case, the plaintiffs must prove by a preponderance of the evidence that the officer</w:t>
      </w:r>
      <w:r w:rsidRPr="00C63D25">
        <w:rPr>
          <w:rFonts w:ascii="Times New Roman" w:eastAsia="Calibri" w:hAnsi="Times New Roman" w:cs="Times New Roman"/>
          <w:b/>
          <w:bCs/>
          <w:i/>
          <w:iCs/>
          <w:kern w:val="0"/>
          <w:sz w:val="24"/>
          <w:szCs w:val="24"/>
          <w:u w:val="single"/>
          <w14:ligatures w14:val="none"/>
        </w:rPr>
        <w:t>s</w:t>
      </w:r>
      <w:r w:rsidRPr="00C63D25">
        <w:rPr>
          <w:rFonts w:ascii="Times New Roman" w:eastAsia="Calibri" w:hAnsi="Times New Roman" w:cs="Times New Roman"/>
          <w:kern w:val="0"/>
          <w:sz w:val="24"/>
          <w:szCs w:val="24"/>
          <w14:ligatures w14:val="none"/>
        </w:rPr>
        <w:t xml:space="preserve">”—plural—“used excessive force.” </w:t>
      </w:r>
      <w:proofErr w:type="spellStart"/>
      <w:r w:rsidRPr="00C63D25">
        <w:rPr>
          <w:rFonts w:ascii="Times New Roman" w:eastAsia="Calibri" w:hAnsi="Times New Roman" w:cs="Times New Roman"/>
          <w:i/>
          <w:iCs/>
          <w:kern w:val="0"/>
          <w:sz w:val="24"/>
          <w:szCs w:val="24"/>
          <w14:ligatures w14:val="none"/>
        </w:rPr>
        <w:t>Chinaryan</w:t>
      </w:r>
      <w:proofErr w:type="spellEnd"/>
      <w:r w:rsidRPr="00C63D25">
        <w:rPr>
          <w:rFonts w:ascii="Times New Roman" w:eastAsia="Calibri" w:hAnsi="Times New Roman" w:cs="Times New Roman"/>
          <w:i/>
          <w:iCs/>
          <w:kern w:val="0"/>
          <w:sz w:val="24"/>
          <w:szCs w:val="24"/>
          <w14:ligatures w14:val="none"/>
        </w:rPr>
        <w:t xml:space="preserve"> v. City of Los Angeles</w:t>
      </w:r>
      <w:r w:rsidRPr="00C63D25">
        <w:rPr>
          <w:rFonts w:ascii="Times New Roman" w:eastAsia="Calibri" w:hAnsi="Times New Roman" w:cs="Times New Roman"/>
          <w:kern w:val="0"/>
          <w:sz w:val="24"/>
          <w:szCs w:val="24"/>
          <w14:ligatures w14:val="none"/>
        </w:rPr>
        <w:t>, 113 F.4th 888, 905 (9th Cir. 2024) (emphasis in original). The “officer</w:t>
      </w:r>
      <w:r w:rsidRPr="00C63D25">
        <w:rPr>
          <w:rFonts w:ascii="Times New Roman" w:eastAsia="Calibri" w:hAnsi="Times New Roman" w:cs="Times New Roman"/>
          <w:b/>
          <w:bCs/>
          <w:i/>
          <w:iCs/>
          <w:kern w:val="0"/>
          <w:sz w:val="24"/>
          <w:szCs w:val="24"/>
          <w:u w:val="single"/>
          <w14:ligatures w14:val="none"/>
        </w:rPr>
        <w:t>s</w:t>
      </w:r>
      <w:r w:rsidRPr="00C63D25">
        <w:rPr>
          <w:rFonts w:ascii="Times New Roman" w:eastAsia="Calibri" w:hAnsi="Times New Roman" w:cs="Times New Roman"/>
          <w:kern w:val="0"/>
          <w:sz w:val="24"/>
          <w:szCs w:val="24"/>
          <w14:ligatures w14:val="none"/>
        </w:rPr>
        <w:t>”</w:t>
      </w:r>
      <w:r w:rsidRPr="00C63D25">
        <w:rPr>
          <w:rFonts w:ascii="Times New Roman" w:eastAsia="Calibri" w:hAnsi="Times New Roman" w:cs="Times New Roman"/>
          <w:b/>
          <w:bCs/>
          <w:kern w:val="0"/>
          <w:sz w:val="24"/>
          <w:szCs w:val="24"/>
          <w14:ligatures w14:val="none"/>
        </w:rPr>
        <w:t xml:space="preserve"> </w:t>
      </w:r>
      <w:r w:rsidRPr="00C63D25">
        <w:rPr>
          <w:rFonts w:ascii="Times New Roman" w:eastAsia="Calibri" w:hAnsi="Times New Roman" w:cs="Times New Roman"/>
          <w:kern w:val="0"/>
          <w:sz w:val="24"/>
          <w:szCs w:val="24"/>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C63D25">
        <w:rPr>
          <w:rFonts w:ascii="Times New Roman" w:eastAsia="Calibri" w:hAnsi="Times New Roman" w:cs="Times New Roman"/>
          <w:i/>
          <w:iCs/>
          <w:kern w:val="0"/>
          <w:sz w:val="24"/>
          <w:szCs w:val="24"/>
          <w14:ligatures w14:val="none"/>
        </w:rPr>
        <w:t>Id.</w:t>
      </w:r>
      <w:r w:rsidRPr="00C63D25">
        <w:rPr>
          <w:rFonts w:ascii="Times New Roman" w:eastAsia="Calibri" w:hAnsi="Times New Roman" w:cs="Times New Roman"/>
          <w:kern w:val="0"/>
          <w:sz w:val="24"/>
          <w:szCs w:val="24"/>
          <w14:ligatures w14:val="none"/>
        </w:rPr>
        <w:t xml:space="preserve"> In light of </w:t>
      </w:r>
      <w:proofErr w:type="spellStart"/>
      <w:r w:rsidRPr="00C63D25">
        <w:rPr>
          <w:rFonts w:ascii="Times New Roman" w:eastAsia="Calibri" w:hAnsi="Times New Roman" w:cs="Times New Roman"/>
          <w:i/>
          <w:iCs/>
          <w:kern w:val="0"/>
          <w:sz w:val="24"/>
          <w:szCs w:val="24"/>
          <w14:ligatures w14:val="none"/>
        </w:rPr>
        <w:t>Chinaryan</w:t>
      </w:r>
      <w:proofErr w:type="spellEnd"/>
      <w:r w:rsidRPr="00C63D25">
        <w:rPr>
          <w:rFonts w:ascii="Times New Roman" w:eastAsia="Calibri" w:hAnsi="Times New Roman" w:cs="Times New Roman"/>
          <w:kern w:val="0"/>
          <w:sz w:val="24"/>
          <w:szCs w:val="24"/>
          <w14:ligatures w14:val="none"/>
        </w:rPr>
        <w:t>, the trial judge may consider using a special verdict to identify the specific findings as to each plaintiff and defendant.</w:t>
      </w:r>
    </w:p>
    <w:p w14:paraId="1CC3AC95"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9C0A0E7"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C63D25">
        <w:rPr>
          <w:rFonts w:ascii="Times New Roman" w:eastAsia="Calibri" w:hAnsi="Times New Roman" w:cs="Times New Roman"/>
          <w:i/>
          <w:iCs/>
          <w:kern w:val="0"/>
          <w:sz w:val="24"/>
          <w:szCs w:val="24"/>
          <w14:ligatures w14:val="none"/>
        </w:rPr>
        <w:t>United States v. Snipe</w:t>
      </w:r>
      <w:r w:rsidRPr="00C63D25">
        <w:rPr>
          <w:rFonts w:ascii="Times New Roman" w:eastAsia="Calibri" w:hAnsi="Times New Roman" w:cs="Times New Roman"/>
          <w:kern w:val="0"/>
          <w:sz w:val="24"/>
          <w:szCs w:val="24"/>
          <w14:ligatures w14:val="none"/>
        </w:rPr>
        <w:t xml:space="preserve">, 515 F.3d 947, 951 (9th Cir. 2008) (quoting </w:t>
      </w:r>
      <w:r w:rsidRPr="00C63D25">
        <w:rPr>
          <w:rFonts w:ascii="Times New Roman" w:eastAsia="Calibri" w:hAnsi="Times New Roman" w:cs="Times New Roman"/>
          <w:i/>
          <w:iCs/>
          <w:kern w:val="0"/>
          <w:sz w:val="24"/>
          <w:szCs w:val="24"/>
          <w14:ligatures w14:val="none"/>
        </w:rPr>
        <w:t>Brigham City v. Stuart</w:t>
      </w:r>
      <w:r w:rsidRPr="00C63D25">
        <w:rPr>
          <w:rFonts w:ascii="Times New Roman" w:eastAsia="Calibri" w:hAnsi="Times New Roman" w:cs="Times New Roman"/>
          <w:kern w:val="0"/>
          <w:sz w:val="24"/>
          <w:szCs w:val="24"/>
          <w14:ligatures w14:val="none"/>
        </w:rPr>
        <w:t xml:space="preserve">, 547 U.S. 398, 403 (2006)); </w:t>
      </w:r>
      <w:r w:rsidRPr="00C63D25">
        <w:rPr>
          <w:rFonts w:ascii="Times New Roman" w:eastAsia="Calibri" w:hAnsi="Times New Roman" w:cs="Times New Roman"/>
          <w:i/>
          <w:iCs/>
          <w:kern w:val="0"/>
          <w:sz w:val="24"/>
          <w:szCs w:val="24"/>
          <w14:ligatures w14:val="none"/>
        </w:rPr>
        <w:t xml:space="preserve">see also </w:t>
      </w:r>
      <w:proofErr w:type="spellStart"/>
      <w:r w:rsidRPr="00C63D25">
        <w:rPr>
          <w:rFonts w:ascii="Times New Roman" w:eastAsia="Calibri" w:hAnsi="Times New Roman" w:cs="Times New Roman"/>
          <w:i/>
          <w:iCs/>
          <w:kern w:val="0"/>
          <w:sz w:val="24"/>
          <w:szCs w:val="24"/>
          <w14:ligatures w14:val="none"/>
        </w:rPr>
        <w:t>Bonivert</w:t>
      </w:r>
      <w:proofErr w:type="spellEnd"/>
      <w:r w:rsidRPr="00C63D25">
        <w:rPr>
          <w:rFonts w:ascii="Times New Roman" w:eastAsia="Calibri" w:hAnsi="Times New Roman" w:cs="Times New Roman"/>
          <w:i/>
          <w:iCs/>
          <w:kern w:val="0"/>
          <w:sz w:val="24"/>
          <w:szCs w:val="24"/>
          <w14:ligatures w14:val="none"/>
        </w:rPr>
        <w:t xml:space="preserve"> v. City of Clarkston</w:t>
      </w:r>
      <w:r w:rsidRPr="00C63D25">
        <w:rPr>
          <w:rFonts w:ascii="Times New Roman" w:eastAsia="Calibri" w:hAnsi="Times New Roman" w:cs="Times New Roman"/>
          <w:kern w:val="0"/>
          <w:sz w:val="24"/>
          <w:szCs w:val="24"/>
          <w14:ligatures w14:val="none"/>
        </w:rPr>
        <w:t xml:space="preserve">, 883 F.3d 865, 877 (9th Cir. 2018) (noting that “the emergency exception is ‘narrow’ and ‘rigorously guarded’”). </w:t>
      </w:r>
    </w:p>
    <w:p w14:paraId="0DE9906B"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4560BD2"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 xml:space="preserve">The emergency doctrine recognizes that police function as community caretakers in addition to their roles as criminal investigators and law enforcers. </w:t>
      </w:r>
      <w:r w:rsidRPr="00C63D25">
        <w:rPr>
          <w:rFonts w:ascii="Times New Roman" w:eastAsia="Calibri" w:hAnsi="Times New Roman" w:cs="Times New Roman"/>
          <w:i/>
          <w:iCs/>
          <w:kern w:val="0"/>
          <w:sz w:val="24"/>
          <w:szCs w:val="24"/>
          <w14:ligatures w14:val="none"/>
        </w:rPr>
        <w:t>Espinosa v. City &amp; County of San Francisco</w:t>
      </w:r>
      <w:r w:rsidRPr="00C63D25">
        <w:rPr>
          <w:rFonts w:ascii="Times New Roman" w:eastAsia="Calibri" w:hAnsi="Times New Roman" w:cs="Times New Roman"/>
          <w:kern w:val="0"/>
          <w:sz w:val="24"/>
          <w:szCs w:val="24"/>
          <w14:ligatures w14:val="none"/>
        </w:rPr>
        <w:t xml:space="preserve">, 598 F.3d 528, 534 (9th Cir. 2010).  </w:t>
      </w:r>
    </w:p>
    <w:p w14:paraId="041064EA"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3FC0E86"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C63D25">
        <w:rPr>
          <w:rFonts w:ascii="Times New Roman" w:eastAsia="Calibri" w:hAnsi="Times New Roman" w:cs="Times New Roman"/>
          <w:i/>
          <w:iCs/>
          <w:kern w:val="0"/>
          <w:sz w:val="24"/>
          <w:szCs w:val="24"/>
          <w14:ligatures w14:val="none"/>
        </w:rPr>
        <w:t>Sheehan v. City &amp; County of San Francisco</w:t>
      </w:r>
      <w:r w:rsidRPr="00C63D25">
        <w:rPr>
          <w:rFonts w:ascii="Times New Roman" w:eastAsia="Calibri" w:hAnsi="Times New Roman" w:cs="Times New Roman"/>
          <w:kern w:val="0"/>
          <w:sz w:val="24"/>
          <w:szCs w:val="24"/>
          <w14:ligatures w14:val="none"/>
        </w:rPr>
        <w:t xml:space="preserve">, 743 F.3d 1211, 1221 (9th Cir. 2014), </w:t>
      </w:r>
      <w:proofErr w:type="spellStart"/>
      <w:r w:rsidRPr="00C63D25">
        <w:rPr>
          <w:rFonts w:ascii="Times New Roman" w:eastAsia="Calibri" w:hAnsi="Times New Roman" w:cs="Times New Roman"/>
          <w:i/>
          <w:iCs/>
          <w:kern w:val="0"/>
          <w:sz w:val="24"/>
          <w:szCs w:val="24"/>
          <w14:ligatures w14:val="none"/>
        </w:rPr>
        <w:t>rev’d</w:t>
      </w:r>
      <w:proofErr w:type="spellEnd"/>
      <w:r w:rsidRPr="00C63D25">
        <w:rPr>
          <w:rFonts w:ascii="Times New Roman" w:eastAsia="Calibri" w:hAnsi="Times New Roman" w:cs="Times New Roman"/>
          <w:i/>
          <w:iCs/>
          <w:kern w:val="0"/>
          <w:sz w:val="24"/>
          <w:szCs w:val="24"/>
          <w14:ligatures w14:val="none"/>
        </w:rPr>
        <w:t xml:space="preserve"> in part on other grounds</w:t>
      </w:r>
      <w:r w:rsidRPr="00C63D25">
        <w:rPr>
          <w:rFonts w:ascii="Times New Roman" w:eastAsia="Calibri" w:hAnsi="Times New Roman" w:cs="Times New Roman"/>
          <w:kern w:val="0"/>
          <w:sz w:val="24"/>
          <w:szCs w:val="24"/>
          <w14:ligatures w14:val="none"/>
        </w:rPr>
        <w:t xml:space="preserve">, 575 U.S. 600 (2015) (quoting </w:t>
      </w:r>
      <w:r w:rsidRPr="00C63D25">
        <w:rPr>
          <w:rFonts w:ascii="Times New Roman" w:eastAsia="Calibri" w:hAnsi="Times New Roman" w:cs="Times New Roman"/>
          <w:i/>
          <w:iCs/>
          <w:kern w:val="0"/>
          <w:sz w:val="24"/>
          <w:szCs w:val="24"/>
          <w14:ligatures w14:val="none"/>
        </w:rPr>
        <w:t>Snipe</w:t>
      </w:r>
      <w:r w:rsidRPr="00C63D25">
        <w:rPr>
          <w:rFonts w:ascii="Times New Roman" w:eastAsia="Calibri" w:hAnsi="Times New Roman" w:cs="Times New Roman"/>
          <w:kern w:val="0"/>
          <w:sz w:val="24"/>
          <w:szCs w:val="24"/>
          <w14:ligatures w14:val="none"/>
        </w:rPr>
        <w:t>, 515 F.3d at 952);</w:t>
      </w:r>
      <w:r w:rsidRPr="00C63D25">
        <w:rPr>
          <w:rFonts w:ascii="Times New Roman" w:eastAsia="Calibri" w:hAnsi="Times New Roman" w:cs="Times New Roman"/>
          <w:i/>
          <w:iCs/>
          <w:kern w:val="0"/>
          <w:sz w:val="24"/>
          <w:szCs w:val="24"/>
          <w14:ligatures w14:val="none"/>
        </w:rPr>
        <w:t xml:space="preserve"> see also Hopkins v. </w:t>
      </w:r>
      <w:proofErr w:type="spellStart"/>
      <w:r w:rsidRPr="00C63D25">
        <w:rPr>
          <w:rFonts w:ascii="Times New Roman" w:eastAsia="Calibri" w:hAnsi="Times New Roman" w:cs="Times New Roman"/>
          <w:i/>
          <w:iCs/>
          <w:kern w:val="0"/>
          <w:sz w:val="24"/>
          <w:szCs w:val="24"/>
          <w14:ligatures w14:val="none"/>
        </w:rPr>
        <w:t>Bonvicino</w:t>
      </w:r>
      <w:proofErr w:type="spellEnd"/>
      <w:r w:rsidRPr="00C63D25">
        <w:rPr>
          <w:rFonts w:ascii="Times New Roman" w:eastAsia="Calibri" w:hAnsi="Times New Roman" w:cs="Times New Roman"/>
          <w:kern w:val="0"/>
          <w:sz w:val="24"/>
          <w:szCs w:val="24"/>
          <w14:ligatures w14:val="none"/>
        </w:rPr>
        <w:t>, 573 F.3d 752, 763-66 (9th Cir. 2009) (explaining difference between emergency and related exigency exceptions).</w:t>
      </w:r>
    </w:p>
    <w:p w14:paraId="77C5CFEA"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AC64EC6"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C63D25">
        <w:rPr>
          <w:rFonts w:ascii="Times New Roman" w:eastAsia="Calibri" w:hAnsi="Times New Roman" w:cs="Times New Roman"/>
          <w:i/>
          <w:iCs/>
          <w:kern w:val="0"/>
          <w:sz w:val="24"/>
          <w:szCs w:val="24"/>
          <w14:ligatures w14:val="none"/>
        </w:rPr>
        <w:t>Sheehan</w:t>
      </w:r>
      <w:r w:rsidRPr="00C63D25">
        <w:rPr>
          <w:rFonts w:ascii="Times New Roman" w:eastAsia="Calibri" w:hAnsi="Times New Roman" w:cs="Times New Roman"/>
          <w:kern w:val="0"/>
          <w:sz w:val="24"/>
          <w:szCs w:val="24"/>
          <w14:ligatures w14:val="none"/>
        </w:rPr>
        <w:t>, 743 F.3d at 1222 (applying the Supreme Court’s excessive force standard under the Fourth Amendment to both emergency aid and exigency exceptions). To assess whether the force used was reasonable, see Instruction 9.27 (Particular Rights—Fourth Amendment—Unreasonable Seizure of Person—Excessive Force).</w:t>
      </w:r>
    </w:p>
    <w:p w14:paraId="24C8EB0E"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AEE4BEE"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ab/>
        <w:t>A plaintiff alleging a § 1983 claim based on an unreasonable search in violation</w:t>
      </w:r>
    </w:p>
    <w:p w14:paraId="32E3CD1E"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63D25">
        <w:rPr>
          <w:rFonts w:ascii="Times New Roman" w:eastAsia="Calibri" w:hAnsi="Times New Roman" w:cs="Times New Roman"/>
          <w:kern w:val="0"/>
          <w:sz w:val="24"/>
          <w:szCs w:val="24"/>
          <w14:ligatures w14:val="none"/>
        </w:rPr>
        <w:t xml:space="preserve">of the Fourth Amendment has the burden of proving at trial that an asserted exception to the warrant requirement did not apply. </w:t>
      </w:r>
      <w:r w:rsidRPr="00C63D25">
        <w:rPr>
          <w:rFonts w:ascii="Times New Roman" w:eastAsia="Calibri" w:hAnsi="Times New Roman" w:cs="Times New Roman"/>
          <w:i/>
          <w:iCs/>
          <w:kern w:val="0"/>
          <w:sz w:val="24"/>
          <w:szCs w:val="24"/>
          <w14:ligatures w14:val="none"/>
        </w:rPr>
        <w:t>Larez v. Holcomb</w:t>
      </w:r>
      <w:r w:rsidRPr="00C63D25">
        <w:rPr>
          <w:rFonts w:ascii="Times New Roman" w:eastAsia="Calibri" w:hAnsi="Times New Roman" w:cs="Times New Roman"/>
          <w:kern w:val="0"/>
          <w:sz w:val="24"/>
          <w:szCs w:val="24"/>
          <w14:ligatures w14:val="none"/>
        </w:rPr>
        <w:t xml:space="preserve">, 16 F.3d 1513, 1517-18 (9th Cir. 1994);  </w:t>
      </w:r>
      <w:r w:rsidRPr="00C63D25">
        <w:rPr>
          <w:rFonts w:ascii="Times New Roman" w:eastAsia="Calibri" w:hAnsi="Times New Roman" w:cs="Times New Roman"/>
          <w:i/>
          <w:iCs/>
          <w:kern w:val="0"/>
          <w:sz w:val="24"/>
          <w:szCs w:val="24"/>
          <w14:ligatures w14:val="none"/>
        </w:rPr>
        <w:t>see</w:t>
      </w:r>
      <w:r w:rsidRPr="00C63D25">
        <w:rPr>
          <w:rFonts w:ascii="Times New Roman" w:eastAsia="Calibri" w:hAnsi="Times New Roman" w:cs="Times New Roman"/>
          <w:kern w:val="0"/>
          <w:sz w:val="24"/>
          <w:szCs w:val="24"/>
          <w14:ligatures w14:val="none"/>
        </w:rPr>
        <w:t xml:space="preserve"> </w:t>
      </w:r>
      <w:r w:rsidRPr="00C63D25">
        <w:rPr>
          <w:rFonts w:ascii="Times New Roman" w:eastAsia="Calibri" w:hAnsi="Times New Roman" w:cs="Times New Roman"/>
          <w:i/>
          <w:iCs/>
          <w:kern w:val="0"/>
          <w:sz w:val="24"/>
          <w:szCs w:val="24"/>
          <w14:ligatures w14:val="none"/>
        </w:rPr>
        <w:t>Mueller v. Auker</w:t>
      </w:r>
      <w:r w:rsidRPr="00C63D25">
        <w:rPr>
          <w:rFonts w:ascii="Times New Roman" w:eastAsia="Calibri" w:hAnsi="Times New Roman" w:cs="Times New Roman"/>
          <w:kern w:val="0"/>
          <w:sz w:val="24"/>
          <w:szCs w:val="24"/>
          <w14:ligatures w14:val="none"/>
        </w:rPr>
        <w:t xml:space="preserve">, 700 F.3d 1180, 1193 (9th Cir. 2012) (placing burden on the plaintiff to establish an absence of imminent danger in a claim of interference with parent-child relationship); </w:t>
      </w:r>
      <w:r w:rsidRPr="00C63D25">
        <w:rPr>
          <w:rFonts w:ascii="Times New Roman" w:eastAsia="Calibri" w:hAnsi="Times New Roman" w:cs="Times New Roman"/>
          <w:i/>
          <w:iCs/>
          <w:kern w:val="0"/>
          <w:sz w:val="24"/>
          <w:szCs w:val="24"/>
          <w14:ligatures w14:val="none"/>
        </w:rPr>
        <w:t>Pavao v. Pagay</w:t>
      </w:r>
      <w:r w:rsidRPr="00C63D25">
        <w:rPr>
          <w:rFonts w:ascii="Times New Roman" w:eastAsia="Calibri" w:hAnsi="Times New Roman" w:cs="Times New Roman"/>
          <w:kern w:val="0"/>
          <w:sz w:val="24"/>
          <w:szCs w:val="24"/>
          <w14:ligatures w14:val="none"/>
        </w:rPr>
        <w:t xml:space="preserve">, 307 F.3d 915, 919 (9th Cir. 2002) (reaffirming that plaintiff in § 1983 action “carries the ultimate burden of establishing each element of his or her claim, including lack of consent [to search]”). </w:t>
      </w:r>
    </w:p>
    <w:p w14:paraId="6840C1B3"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753ED03" w14:textId="77777777" w:rsidR="00C63D25" w:rsidRPr="00C63D25" w:rsidRDefault="00C63D25" w:rsidP="00C63D2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A408E21" w14:textId="09B83EAC" w:rsidR="00FE7F82" w:rsidRPr="00C63D25" w:rsidRDefault="00C63D25" w:rsidP="00C63D25">
      <w:pPr>
        <w:jc w:val="right"/>
      </w:pPr>
      <w:r w:rsidRPr="00C63D25">
        <w:rPr>
          <w:rFonts w:ascii="Times New Roman" w:eastAsia="Calibri" w:hAnsi="Times New Roman" w:cs="Times New Roman"/>
          <w:i/>
          <w:iCs/>
          <w:kern w:val="0"/>
          <w:sz w:val="24"/>
          <w:szCs w:val="24"/>
          <w14:ligatures w14:val="none"/>
        </w:rPr>
        <w:t>Revised June 2025</w:t>
      </w:r>
    </w:p>
    <w:sectPr w:rsidR="00FE7F82" w:rsidRPr="00C63D25" w:rsidSect="0004319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319C"/>
    <w:rsid w:val="0004319C"/>
    <w:rsid w:val="001F5CAF"/>
    <w:rsid w:val="00313AD7"/>
    <w:rsid w:val="004922F2"/>
    <w:rsid w:val="004F7175"/>
    <w:rsid w:val="00574F25"/>
    <w:rsid w:val="00657D74"/>
    <w:rsid w:val="0075431B"/>
    <w:rsid w:val="007D6FBC"/>
    <w:rsid w:val="00887257"/>
    <w:rsid w:val="009952C3"/>
    <w:rsid w:val="00B96321"/>
    <w:rsid w:val="00C30B63"/>
    <w:rsid w:val="00C63D25"/>
    <w:rsid w:val="00D26B1A"/>
    <w:rsid w:val="00EE01E0"/>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FB2C"/>
  <w15:docId w15:val="{73910FC1-9479-459F-BD5C-22111ADB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43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10</cp:revision>
  <dcterms:created xsi:type="dcterms:W3CDTF">2024-02-05T19:04:00Z</dcterms:created>
  <dcterms:modified xsi:type="dcterms:W3CDTF">2026-02-26T21:41:00Z</dcterms:modified>
</cp:coreProperties>
</file>