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7180E" w14:textId="44DF2096" w:rsidR="007A4FC1" w:rsidRPr="006A4CD7" w:rsidRDefault="000952A7" w:rsidP="007A4FC1">
      <w:pPr>
        <w:pStyle w:val="Heading2"/>
      </w:pPr>
      <w:bookmarkStart w:id="0" w:name="_Toc65157298"/>
      <w:bookmarkStart w:id="1" w:name="_Hlk115100114"/>
      <w:r w:rsidRPr="006A4CD7">
        <w:t>9.1</w:t>
      </w:r>
      <w:bookmarkStart w:id="2" w:name="_Hlk173411453"/>
      <w:r w:rsidRPr="006A4CD7">
        <w:t xml:space="preserve"> </w:t>
      </w:r>
      <w:bookmarkStart w:id="3" w:name="_Hlk123892688"/>
      <w:r w:rsidRPr="006A4CD7">
        <w:t>Section</w:t>
      </w:r>
      <w:r w:rsidR="005360B9" w:rsidRPr="006A4CD7">
        <w:t xml:space="preserve"> 1983 Claim—Introductory Instruction</w:t>
      </w:r>
      <w:bookmarkEnd w:id="0"/>
      <w:bookmarkEnd w:id="1"/>
      <w:bookmarkEnd w:id="2"/>
      <w:bookmarkEnd w:id="3"/>
    </w:p>
    <w:p w14:paraId="2C32CBAC" w14:textId="77777777" w:rsidR="007A4FC1" w:rsidRPr="006A4CD7" w:rsidRDefault="007A4FC1" w:rsidP="007A4FC1">
      <w:pPr>
        <w:autoSpaceDE w:val="0"/>
        <w:autoSpaceDN w:val="0"/>
        <w:adjustRightInd w:val="0"/>
        <w:rPr>
          <w:rFonts w:cs="Times New Roman"/>
          <w:szCs w:val="24"/>
        </w:rPr>
      </w:pPr>
    </w:p>
    <w:p w14:paraId="57D37C2D" w14:textId="1D2F1366" w:rsidR="007A4FC1" w:rsidRPr="006A4CD7" w:rsidRDefault="007A4FC1" w:rsidP="007A4FC1">
      <w:pPr>
        <w:autoSpaceDE w:val="0"/>
        <w:autoSpaceDN w:val="0"/>
        <w:adjustRightInd w:val="0"/>
        <w:rPr>
          <w:rFonts w:cs="Times New Roman"/>
          <w:szCs w:val="24"/>
        </w:rPr>
      </w:pPr>
      <w:r w:rsidRPr="006A4CD7">
        <w:rPr>
          <w:rFonts w:cs="Times New Roman"/>
          <w:szCs w:val="24"/>
        </w:rPr>
        <w:tab/>
        <w:t xml:space="preserve">The plaintiff brings [his] [her] claim[s] under the federal statute, 42 U.S.C. § 1983, which provides that any person or persons who, under color of state law, deprives another of any rights, privileges, or immunities secured by the Constitution or laws of the United States shall be liable to the injured party. </w:t>
      </w:r>
    </w:p>
    <w:p w14:paraId="674FA2D6" w14:textId="77777777" w:rsidR="007A4FC1" w:rsidRPr="006A4CD7" w:rsidRDefault="007A4FC1" w:rsidP="007A4FC1">
      <w:pPr>
        <w:autoSpaceDE w:val="0"/>
        <w:autoSpaceDN w:val="0"/>
        <w:adjustRightInd w:val="0"/>
        <w:jc w:val="center"/>
        <w:rPr>
          <w:rFonts w:cs="Times New Roman"/>
          <w:b/>
          <w:bCs/>
          <w:szCs w:val="24"/>
        </w:rPr>
      </w:pPr>
      <w:r w:rsidRPr="006A4CD7">
        <w:rPr>
          <w:rFonts w:cs="Times New Roman"/>
          <w:b/>
          <w:bCs/>
          <w:szCs w:val="24"/>
        </w:rPr>
        <w:t>Comment</w:t>
      </w:r>
    </w:p>
    <w:p w14:paraId="7526D96F" w14:textId="77777777" w:rsidR="007A4FC1" w:rsidRPr="006A4CD7" w:rsidRDefault="007A4FC1" w:rsidP="007A4FC1">
      <w:pPr>
        <w:autoSpaceDE w:val="0"/>
        <w:autoSpaceDN w:val="0"/>
        <w:adjustRightInd w:val="0"/>
        <w:rPr>
          <w:rFonts w:cs="Times New Roman"/>
          <w:b/>
          <w:bCs/>
          <w:szCs w:val="24"/>
        </w:rPr>
      </w:pPr>
    </w:p>
    <w:p w14:paraId="6E707487" w14:textId="27E60DAC" w:rsidR="007A4FC1" w:rsidRPr="006A4CD7" w:rsidRDefault="007A4FC1" w:rsidP="007A4FC1">
      <w:pPr>
        <w:autoSpaceDE w:val="0"/>
        <w:autoSpaceDN w:val="0"/>
        <w:adjustRightInd w:val="0"/>
        <w:rPr>
          <w:rFonts w:cs="Times New Roman"/>
          <w:szCs w:val="24"/>
        </w:rPr>
      </w:pPr>
      <w:r w:rsidRPr="006A4CD7">
        <w:rPr>
          <w:rFonts w:cs="Times New Roman"/>
          <w:szCs w:val="24"/>
        </w:rPr>
        <w:tab/>
      </w:r>
      <w:r w:rsidR="00447E9C">
        <w:rPr>
          <w:rFonts w:cs="Times New Roman"/>
          <w:szCs w:val="24"/>
        </w:rPr>
        <w:t>P</w:t>
      </w:r>
      <w:r w:rsidRPr="006A4CD7">
        <w:rPr>
          <w:rFonts w:cs="Times New Roman"/>
          <w:szCs w:val="24"/>
        </w:rPr>
        <w:t xml:space="preserve">ast decisions of the Supreme Court and the Ninth Circuit used the phrases “under color of law” and “under color of state law” interchangeably.  </w:t>
      </w:r>
      <w:r w:rsidRPr="006A4CD7">
        <w:rPr>
          <w:rFonts w:cs="Times New Roman"/>
          <w:i/>
          <w:iCs/>
          <w:szCs w:val="24"/>
        </w:rPr>
        <w:t xml:space="preserve">Compare, e.g., </w:t>
      </w:r>
      <w:proofErr w:type="spellStart"/>
      <w:r w:rsidRPr="006A4CD7">
        <w:rPr>
          <w:rFonts w:cs="Times New Roman"/>
          <w:i/>
          <w:iCs/>
          <w:szCs w:val="24"/>
        </w:rPr>
        <w:t>Livadas</w:t>
      </w:r>
      <w:proofErr w:type="spellEnd"/>
      <w:r w:rsidRPr="006A4CD7">
        <w:rPr>
          <w:rFonts w:cs="Times New Roman"/>
          <w:i/>
          <w:iCs/>
          <w:szCs w:val="24"/>
        </w:rPr>
        <w:t xml:space="preserve"> v. Bradshaw</w:t>
      </w:r>
      <w:r w:rsidRPr="006A4CD7">
        <w:rPr>
          <w:rFonts w:cs="Times New Roman"/>
          <w:szCs w:val="24"/>
        </w:rPr>
        <w:t xml:space="preserve">, 512 U.S. 107, 132 (1994), and </w:t>
      </w:r>
      <w:r w:rsidR="00447E9C" w:rsidRPr="00447E9C">
        <w:rPr>
          <w:rFonts w:cs="Times New Roman"/>
          <w:i/>
          <w:iCs/>
          <w:szCs w:val="24"/>
        </w:rPr>
        <w:t xml:space="preserve">Benavidez v. </w:t>
      </w:r>
      <w:proofErr w:type="spellStart"/>
      <w:r w:rsidR="00447E9C" w:rsidRPr="00447E9C">
        <w:rPr>
          <w:rFonts w:cs="Times New Roman"/>
          <w:i/>
          <w:iCs/>
          <w:szCs w:val="24"/>
        </w:rPr>
        <w:t>Cnty</w:t>
      </w:r>
      <w:proofErr w:type="spellEnd"/>
      <w:r w:rsidR="00447E9C" w:rsidRPr="00447E9C">
        <w:rPr>
          <w:rFonts w:cs="Times New Roman"/>
          <w:i/>
          <w:iCs/>
          <w:szCs w:val="24"/>
        </w:rPr>
        <w:t>. of San Diego</w:t>
      </w:r>
      <w:r w:rsidR="00447E9C" w:rsidRPr="00447E9C">
        <w:rPr>
          <w:rFonts w:cs="Times New Roman"/>
          <w:szCs w:val="24"/>
        </w:rPr>
        <w:t>, 993 F.3d 1134, 1144 (9th Cir. 2021</w:t>
      </w:r>
      <w:r w:rsidR="00447E9C" w:rsidRPr="00447E9C">
        <w:rPr>
          <w:rFonts w:cs="Times New Roman"/>
          <w:i/>
          <w:iCs/>
          <w:szCs w:val="24"/>
        </w:rPr>
        <w:t>)</w:t>
      </w:r>
      <w:r w:rsidRPr="006A4CD7">
        <w:rPr>
          <w:rFonts w:cs="Times New Roman"/>
          <w:szCs w:val="24"/>
        </w:rPr>
        <w:t xml:space="preserve"> (using phrase “under color of law”), </w:t>
      </w:r>
      <w:r w:rsidRPr="006A4CD7">
        <w:rPr>
          <w:rFonts w:cs="Times New Roman"/>
          <w:i/>
          <w:iCs/>
          <w:szCs w:val="24"/>
        </w:rPr>
        <w:t>with</w:t>
      </w:r>
      <w:r w:rsidR="00447E9C">
        <w:rPr>
          <w:rFonts w:cs="Times New Roman"/>
          <w:i/>
          <w:iCs/>
          <w:szCs w:val="24"/>
        </w:rPr>
        <w:t xml:space="preserve"> </w:t>
      </w:r>
      <w:r w:rsidR="00447E9C" w:rsidRPr="00447E9C">
        <w:rPr>
          <w:rFonts w:cs="Times New Roman"/>
          <w:i/>
          <w:iCs/>
          <w:szCs w:val="24"/>
        </w:rPr>
        <w:t xml:space="preserve">Health &amp; Hosp. Corp. of Marion </w:t>
      </w:r>
      <w:proofErr w:type="spellStart"/>
      <w:r w:rsidR="00447E9C" w:rsidRPr="00447E9C">
        <w:rPr>
          <w:rFonts w:cs="Times New Roman"/>
          <w:i/>
          <w:iCs/>
          <w:szCs w:val="24"/>
        </w:rPr>
        <w:t>Cnty</w:t>
      </w:r>
      <w:proofErr w:type="spellEnd"/>
      <w:r w:rsidR="00447E9C" w:rsidRPr="00447E9C">
        <w:rPr>
          <w:rFonts w:cs="Times New Roman"/>
          <w:i/>
          <w:iCs/>
          <w:szCs w:val="24"/>
        </w:rPr>
        <w:t>. v. Talevski</w:t>
      </w:r>
      <w:r w:rsidR="00447E9C" w:rsidRPr="00447E9C">
        <w:rPr>
          <w:rFonts w:cs="Times New Roman"/>
          <w:szCs w:val="24"/>
        </w:rPr>
        <w:t>, 143 S. Ct. 1444, 1450 (2023)</w:t>
      </w:r>
      <w:r w:rsidRPr="006A4CD7">
        <w:rPr>
          <w:rFonts w:cs="Times New Roman"/>
          <w:szCs w:val="24"/>
        </w:rPr>
        <w:t xml:space="preserve">, and </w:t>
      </w:r>
      <w:r w:rsidR="00447E9C" w:rsidRPr="00447E9C">
        <w:rPr>
          <w:rFonts w:cs="Times New Roman"/>
          <w:i/>
          <w:iCs/>
          <w:szCs w:val="24"/>
        </w:rPr>
        <w:t>Chaudhry v. Aragon</w:t>
      </w:r>
      <w:r w:rsidR="00447E9C" w:rsidRPr="00447E9C">
        <w:rPr>
          <w:rFonts w:cs="Times New Roman"/>
          <w:szCs w:val="24"/>
        </w:rPr>
        <w:t>, 68 F.4th 1161, 1171 (9th Cir. 2023)</w:t>
      </w:r>
      <w:r w:rsidR="00447E9C" w:rsidRPr="00447E9C" w:rsidDel="00447E9C">
        <w:rPr>
          <w:rFonts w:cs="Times New Roman"/>
          <w:szCs w:val="24"/>
        </w:rPr>
        <w:t xml:space="preserve"> </w:t>
      </w:r>
      <w:r w:rsidRPr="006A4CD7">
        <w:rPr>
          <w:rFonts w:cs="Times New Roman"/>
          <w:szCs w:val="24"/>
        </w:rPr>
        <w:t xml:space="preserve">(using phrase “under color of state law”). </w:t>
      </w:r>
    </w:p>
    <w:p w14:paraId="6B334CF6" w14:textId="77777777" w:rsidR="007A4FC1" w:rsidRPr="006A4CD7" w:rsidRDefault="007A4FC1" w:rsidP="007A4FC1">
      <w:pPr>
        <w:autoSpaceDE w:val="0"/>
        <w:autoSpaceDN w:val="0"/>
        <w:adjustRightInd w:val="0"/>
        <w:rPr>
          <w:rFonts w:cs="Times New Roman"/>
          <w:szCs w:val="24"/>
        </w:rPr>
      </w:pPr>
    </w:p>
    <w:p w14:paraId="4F11281E" w14:textId="5BBC6171" w:rsidR="007A4FC1" w:rsidRDefault="007A4FC1" w:rsidP="007A4FC1">
      <w:pPr>
        <w:autoSpaceDE w:val="0"/>
        <w:autoSpaceDN w:val="0"/>
        <w:adjustRightInd w:val="0"/>
        <w:rPr>
          <w:rFonts w:cs="Times New Roman"/>
          <w:szCs w:val="24"/>
        </w:rPr>
      </w:pPr>
      <w:r w:rsidRPr="006A4CD7">
        <w:rPr>
          <w:rFonts w:cs="Times New Roman"/>
          <w:szCs w:val="24"/>
        </w:rPr>
        <w:tab/>
        <w:t xml:space="preserve">Because recent </w:t>
      </w:r>
      <w:r w:rsidR="00447E9C" w:rsidRPr="00447E9C">
        <w:rPr>
          <w:rFonts w:cs="Times New Roman"/>
          <w:szCs w:val="24"/>
        </w:rPr>
        <w:t xml:space="preserve">Supreme Court and </w:t>
      </w:r>
      <w:r w:rsidRPr="006A4CD7">
        <w:rPr>
          <w:rFonts w:cs="Times New Roman"/>
          <w:szCs w:val="24"/>
        </w:rPr>
        <w:t>Ninth Circuit case</w:t>
      </w:r>
      <w:r w:rsidR="00447E9C">
        <w:rPr>
          <w:rFonts w:cs="Times New Roman"/>
          <w:szCs w:val="24"/>
        </w:rPr>
        <w:t>s</w:t>
      </w:r>
      <w:r w:rsidRPr="006A4CD7">
        <w:rPr>
          <w:rFonts w:cs="Times New Roman"/>
          <w:szCs w:val="24"/>
        </w:rPr>
        <w:t xml:space="preserve"> more frequently use the phrase “under color of state law,” rather than “under color of law,” the Committee uses the phrase “under color of state law.” </w:t>
      </w:r>
      <w:r w:rsidR="00447E9C" w:rsidRPr="00447E9C">
        <w:rPr>
          <w:rFonts w:cs="Times New Roman"/>
          <w:i/>
          <w:iCs/>
          <w:szCs w:val="24"/>
        </w:rPr>
        <w:t>See, e.g.</w:t>
      </w:r>
      <w:r w:rsidR="00447E9C" w:rsidRPr="00447E9C">
        <w:rPr>
          <w:rFonts w:cs="Times New Roman"/>
          <w:szCs w:val="24"/>
        </w:rPr>
        <w:t xml:space="preserve">, </w:t>
      </w:r>
      <w:r w:rsidR="00447E9C" w:rsidRPr="00447E9C">
        <w:rPr>
          <w:rFonts w:cs="Times New Roman"/>
          <w:i/>
          <w:iCs/>
          <w:szCs w:val="24"/>
        </w:rPr>
        <w:t>Talevski</w:t>
      </w:r>
      <w:r w:rsidR="00447E9C" w:rsidRPr="00447E9C">
        <w:rPr>
          <w:rFonts w:cs="Times New Roman"/>
          <w:szCs w:val="24"/>
        </w:rPr>
        <w:t xml:space="preserve">, 143 S. Ct. at 1450 (using phrase “color of state law”); </w:t>
      </w:r>
      <w:r w:rsidR="00447E9C" w:rsidRPr="00447E9C">
        <w:rPr>
          <w:rFonts w:cs="Times New Roman"/>
          <w:i/>
          <w:iCs/>
          <w:szCs w:val="24"/>
        </w:rPr>
        <w:t>Torres v. Madrid</w:t>
      </w:r>
      <w:r w:rsidR="00447E9C" w:rsidRPr="00447E9C">
        <w:rPr>
          <w:rFonts w:cs="Times New Roman"/>
          <w:szCs w:val="24"/>
        </w:rPr>
        <w:t xml:space="preserve">, 141 S. Ct. 989, 994 (2021) (same); </w:t>
      </w:r>
      <w:r w:rsidR="00447E9C" w:rsidRPr="00447E9C">
        <w:rPr>
          <w:rFonts w:cs="Times New Roman"/>
          <w:i/>
          <w:iCs/>
          <w:szCs w:val="24"/>
        </w:rPr>
        <w:t>Chaudhry</w:t>
      </w:r>
      <w:r w:rsidR="00447E9C" w:rsidRPr="00447E9C">
        <w:rPr>
          <w:rFonts w:cs="Times New Roman"/>
          <w:szCs w:val="24"/>
        </w:rPr>
        <w:t xml:space="preserve">, 68 F.4th at 1171 (same); </w:t>
      </w:r>
      <w:r w:rsidR="00447E9C" w:rsidRPr="00447E9C">
        <w:rPr>
          <w:rFonts w:cs="Times New Roman"/>
          <w:i/>
          <w:iCs/>
          <w:szCs w:val="24"/>
        </w:rPr>
        <w:t>Roberts v. Springfield Util. Bd.</w:t>
      </w:r>
      <w:r w:rsidR="00447E9C" w:rsidRPr="00447E9C">
        <w:rPr>
          <w:rFonts w:cs="Times New Roman"/>
          <w:szCs w:val="24"/>
        </w:rPr>
        <w:t>, 68 F.4th 470, 474 n.2 (9th Cir. 2023) (same).</w:t>
      </w:r>
    </w:p>
    <w:p w14:paraId="73739A22" w14:textId="2F53D424" w:rsidR="001206BE" w:rsidRPr="00287140" w:rsidRDefault="001206BE" w:rsidP="007A4FC1">
      <w:pPr>
        <w:autoSpaceDE w:val="0"/>
        <w:autoSpaceDN w:val="0"/>
        <w:adjustRightInd w:val="0"/>
        <w:rPr>
          <w:rFonts w:cs="Times New Roman"/>
          <w:szCs w:val="24"/>
        </w:rPr>
      </w:pPr>
    </w:p>
    <w:p w14:paraId="781D8FE0" w14:textId="58E8DF9A" w:rsidR="00447E9C" w:rsidRDefault="00447E9C" w:rsidP="00447E9C">
      <w:pPr>
        <w:autoSpaceDE w:val="0"/>
        <w:autoSpaceDN w:val="0"/>
        <w:adjustRightInd w:val="0"/>
        <w:ind w:firstLine="720"/>
        <w:rPr>
          <w:rFonts w:cs="Times New Roman"/>
          <w:szCs w:val="24"/>
        </w:rPr>
      </w:pPr>
      <w:r w:rsidRPr="00447E9C">
        <w:rPr>
          <w:rFonts w:cs="Times New Roman"/>
          <w:szCs w:val="24"/>
        </w:rPr>
        <w:t xml:space="preserve">Generally, “a public employee acts under color of state law while acting in his official capacity or while exercising his responsibilities pursuant to state law.”  </w:t>
      </w:r>
      <w:proofErr w:type="spellStart"/>
      <w:r w:rsidRPr="00447E9C">
        <w:rPr>
          <w:rFonts w:cs="Times New Roman"/>
          <w:i/>
          <w:iCs/>
          <w:szCs w:val="24"/>
        </w:rPr>
        <w:t>Paeste</w:t>
      </w:r>
      <w:proofErr w:type="spellEnd"/>
      <w:r w:rsidRPr="00447E9C">
        <w:rPr>
          <w:rFonts w:cs="Times New Roman"/>
          <w:i/>
          <w:iCs/>
          <w:szCs w:val="24"/>
        </w:rPr>
        <w:t xml:space="preserve"> v. Gov’t of Guam</w:t>
      </w:r>
      <w:r w:rsidRPr="00447E9C">
        <w:rPr>
          <w:rFonts w:cs="Times New Roman"/>
          <w:szCs w:val="24"/>
        </w:rPr>
        <w:t xml:space="preserve">, 798 F.3d 1228, 1238 (9th Cir. 2015) (quoting </w:t>
      </w:r>
      <w:r w:rsidRPr="00447E9C">
        <w:rPr>
          <w:rFonts w:cs="Times New Roman"/>
          <w:i/>
          <w:iCs/>
          <w:szCs w:val="24"/>
        </w:rPr>
        <w:t>West v. Atkins</w:t>
      </w:r>
      <w:r w:rsidRPr="00447E9C">
        <w:rPr>
          <w:rFonts w:cs="Times New Roman"/>
          <w:szCs w:val="24"/>
        </w:rPr>
        <w:t>, 487 U.S. 42, 50 (1988))</w:t>
      </w:r>
      <w:r w:rsidR="00A156A3">
        <w:rPr>
          <w:rFonts w:cs="Times New Roman"/>
          <w:szCs w:val="24"/>
        </w:rPr>
        <w:t xml:space="preserve">; </w:t>
      </w:r>
      <w:r w:rsidR="00A156A3" w:rsidRPr="00BD0BF5">
        <w:rPr>
          <w:rFonts w:cs="Times New Roman"/>
          <w:i/>
          <w:iCs/>
          <w:szCs w:val="24"/>
        </w:rPr>
        <w:t>but see Thai v. County of Los Angeles</w:t>
      </w:r>
      <w:r w:rsidR="00A156A3" w:rsidRPr="00BD0BF5">
        <w:rPr>
          <w:rFonts w:cs="Times New Roman"/>
          <w:szCs w:val="24"/>
        </w:rPr>
        <w:t>, 127 F.4th 1254, 1261 (9th Cir. 2025) (holding that law enforcement officers from the Los Angeles District Attorney’s Office were acting under color of federal law, not under color of state law, where the source of authority for the joint federal-state task force was federal in nature and the challenged conduct was subject to immediate control of federal supervisors)</w:t>
      </w:r>
      <w:r w:rsidRPr="00BD0BF5">
        <w:rPr>
          <w:rFonts w:cs="Times New Roman"/>
          <w:szCs w:val="24"/>
        </w:rPr>
        <w:t>.</w:t>
      </w:r>
      <w:r w:rsidRPr="00447E9C">
        <w:rPr>
          <w:rFonts w:cs="Times New Roman"/>
          <w:szCs w:val="24"/>
        </w:rPr>
        <w:t xml:space="preserve">  </w:t>
      </w:r>
    </w:p>
    <w:p w14:paraId="519D77DC" w14:textId="77777777" w:rsidR="00447E9C" w:rsidRPr="00447E9C" w:rsidRDefault="00447E9C" w:rsidP="00447E9C">
      <w:pPr>
        <w:autoSpaceDE w:val="0"/>
        <w:autoSpaceDN w:val="0"/>
        <w:adjustRightInd w:val="0"/>
        <w:ind w:firstLine="720"/>
        <w:rPr>
          <w:rFonts w:cs="Times New Roman"/>
          <w:szCs w:val="24"/>
        </w:rPr>
      </w:pPr>
    </w:p>
    <w:p w14:paraId="3DFE2BFD" w14:textId="4323B1DE" w:rsidR="001206BE" w:rsidRPr="006A4CD7" w:rsidRDefault="00447E9C" w:rsidP="00447E9C">
      <w:pPr>
        <w:autoSpaceDE w:val="0"/>
        <w:autoSpaceDN w:val="0"/>
        <w:adjustRightInd w:val="0"/>
        <w:ind w:firstLine="720"/>
        <w:rPr>
          <w:rFonts w:cs="Times New Roman"/>
          <w:szCs w:val="24"/>
        </w:rPr>
      </w:pPr>
      <w:r w:rsidRPr="00447E9C">
        <w:rPr>
          <w:rFonts w:cs="Times New Roman"/>
          <w:szCs w:val="24"/>
        </w:rPr>
        <w:t xml:space="preserve">The color of law inquiry and the state action inquiry are the same.  </w:t>
      </w:r>
      <w:r w:rsidRPr="00447E9C">
        <w:rPr>
          <w:rFonts w:cs="Times New Roman"/>
          <w:i/>
          <w:iCs/>
          <w:szCs w:val="24"/>
        </w:rPr>
        <w:t>Rawson v. Recovery Innovations, Inc.</w:t>
      </w:r>
      <w:r w:rsidRPr="00447E9C">
        <w:rPr>
          <w:rFonts w:cs="Times New Roman"/>
          <w:szCs w:val="24"/>
        </w:rPr>
        <w:t>, 975 F.3d 742, 747 (9th Cir. 2020).</w:t>
      </w:r>
      <w:r>
        <w:rPr>
          <w:rFonts w:cs="Times New Roman"/>
          <w:szCs w:val="24"/>
        </w:rPr>
        <w:t xml:space="preserve"> W</w:t>
      </w:r>
      <w:r w:rsidR="001206BE" w:rsidRPr="00287140">
        <w:rPr>
          <w:rFonts w:cs="Times New Roman"/>
          <w:szCs w:val="24"/>
        </w:rPr>
        <w:t xml:space="preserve">hen a private actor’s conduct is challenged as “state action” under § 1983, a court looks to two </w:t>
      </w:r>
      <w:r w:rsidR="005F4C49" w:rsidRPr="00287140">
        <w:rPr>
          <w:rFonts w:cs="Times New Roman"/>
          <w:szCs w:val="24"/>
        </w:rPr>
        <w:t>requirements</w:t>
      </w:r>
      <w:r w:rsidR="001206BE" w:rsidRPr="00287140">
        <w:rPr>
          <w:rFonts w:cs="Times New Roman"/>
          <w:szCs w:val="24"/>
        </w:rPr>
        <w:t xml:space="preserve"> that the private actor must meet: (1) the state policy requirement; and (2) the state actor requirement. </w:t>
      </w:r>
      <w:r w:rsidRPr="00447E9C">
        <w:rPr>
          <w:rFonts w:cs="Times New Roman"/>
          <w:i/>
          <w:iCs/>
          <w:szCs w:val="24"/>
        </w:rPr>
        <w:t>Wright v. Serv. Emps. Int’l Union Loc</w:t>
      </w:r>
      <w:r w:rsidRPr="00447E9C">
        <w:rPr>
          <w:rFonts w:cs="Times New Roman"/>
          <w:szCs w:val="24"/>
        </w:rPr>
        <w:t xml:space="preserve">. </w:t>
      </w:r>
      <w:r w:rsidRPr="00447E9C">
        <w:rPr>
          <w:rFonts w:cs="Times New Roman"/>
          <w:i/>
          <w:iCs/>
          <w:szCs w:val="24"/>
        </w:rPr>
        <w:t>503</w:t>
      </w:r>
      <w:r w:rsidRPr="00447E9C">
        <w:rPr>
          <w:rFonts w:cs="Times New Roman"/>
          <w:szCs w:val="24"/>
        </w:rPr>
        <w:t>, 48 F.4th 1112, 1121 (9th Cir. 2022).</w:t>
      </w:r>
      <w:r w:rsidR="001206BE" w:rsidRPr="00287140">
        <w:rPr>
          <w:rFonts w:cs="Times New Roman"/>
          <w:szCs w:val="24"/>
        </w:rPr>
        <w:t xml:space="preserve"> Under the first requirement, the question is whether the claimed constitutional deprivation resulted from the exercise of some right or privilege created by the state or by a rule of conduct imposed by the state or by a person for whom the state is responsible.  </w:t>
      </w:r>
      <w:r w:rsidR="001206BE" w:rsidRPr="00287140">
        <w:rPr>
          <w:rFonts w:cs="Times New Roman"/>
          <w:i/>
          <w:iCs/>
          <w:szCs w:val="24"/>
        </w:rPr>
        <w:t>Id</w:t>
      </w:r>
      <w:r w:rsidR="001206BE" w:rsidRPr="00287140">
        <w:rPr>
          <w:rFonts w:cs="Times New Roman"/>
          <w:szCs w:val="24"/>
        </w:rPr>
        <w:t xml:space="preserve">. at 1121-22.  Under the second requirement, courts generally use one of four tests outlined by the Supreme Court to examine whether the party charged with the deprivation could be described in all fairness as a “state actor.”  </w:t>
      </w:r>
      <w:r w:rsidR="001206BE" w:rsidRPr="00287140">
        <w:rPr>
          <w:rFonts w:cs="Times New Roman"/>
          <w:i/>
          <w:iCs/>
          <w:szCs w:val="24"/>
        </w:rPr>
        <w:t xml:space="preserve">Id. </w:t>
      </w:r>
      <w:r w:rsidR="001206BE" w:rsidRPr="00287140">
        <w:rPr>
          <w:rFonts w:cs="Times New Roman"/>
          <w:szCs w:val="24"/>
        </w:rPr>
        <w:t>at 1122.  Those tests are the public function test, the joint action</w:t>
      </w:r>
      <w:r w:rsidR="00920628" w:rsidRPr="00287140">
        <w:rPr>
          <w:rFonts w:cs="Times New Roman"/>
          <w:szCs w:val="24"/>
        </w:rPr>
        <w:t xml:space="preserve"> </w:t>
      </w:r>
      <w:r w:rsidR="001206BE" w:rsidRPr="00287140">
        <w:rPr>
          <w:rFonts w:cs="Times New Roman"/>
          <w:szCs w:val="24"/>
        </w:rPr>
        <w:t xml:space="preserve">test, the state compulsion test, and the governmental nexus test.  </w:t>
      </w:r>
      <w:r w:rsidR="001206BE" w:rsidRPr="00287140">
        <w:rPr>
          <w:rFonts w:cs="Times New Roman"/>
          <w:i/>
          <w:iCs/>
          <w:szCs w:val="24"/>
        </w:rPr>
        <w:t>Id</w:t>
      </w:r>
      <w:r w:rsidR="001206BE" w:rsidRPr="00287140">
        <w:rPr>
          <w:rFonts w:cs="Times New Roman"/>
          <w:szCs w:val="24"/>
        </w:rPr>
        <w:t>.</w:t>
      </w:r>
      <w:r>
        <w:rPr>
          <w:rFonts w:cs="Times New Roman"/>
          <w:szCs w:val="24"/>
        </w:rPr>
        <w:t>;</w:t>
      </w:r>
      <w:r w:rsidR="00A156A3">
        <w:rPr>
          <w:rFonts w:cs="Times New Roman"/>
          <w:szCs w:val="24"/>
        </w:rPr>
        <w:t xml:space="preserve"> </w:t>
      </w:r>
      <w:r>
        <w:rPr>
          <w:rFonts w:cs="Times New Roman"/>
          <w:i/>
          <w:iCs/>
          <w:szCs w:val="24"/>
        </w:rPr>
        <w:t>s</w:t>
      </w:r>
      <w:r w:rsidR="00920628" w:rsidRPr="00287140">
        <w:rPr>
          <w:rFonts w:cs="Times New Roman"/>
          <w:i/>
          <w:iCs/>
          <w:szCs w:val="24"/>
        </w:rPr>
        <w:t xml:space="preserve">ee </w:t>
      </w:r>
      <w:r w:rsidR="00DC1EF3" w:rsidRPr="006A4CD7">
        <w:rPr>
          <w:rFonts w:cs="Times New Roman"/>
          <w:i/>
          <w:iCs/>
          <w:szCs w:val="24"/>
        </w:rPr>
        <w:t>Rawson v. Recovery Innovations, Inc.</w:t>
      </w:r>
      <w:r w:rsidR="00DC1EF3" w:rsidRPr="006A4CD7">
        <w:rPr>
          <w:rFonts w:cs="Times New Roman"/>
          <w:szCs w:val="24"/>
        </w:rPr>
        <w:t>, 975 F.3d 742</w:t>
      </w:r>
      <w:r>
        <w:rPr>
          <w:rFonts w:cs="Times New Roman"/>
          <w:szCs w:val="24"/>
        </w:rPr>
        <w:t>, 747</w:t>
      </w:r>
      <w:r w:rsidR="00DC1EF3" w:rsidRPr="006A4CD7">
        <w:rPr>
          <w:rFonts w:cs="Times New Roman"/>
          <w:szCs w:val="24"/>
        </w:rPr>
        <w:t xml:space="preserve"> (9th Cir. 2020)</w:t>
      </w:r>
      <w:r w:rsidR="00DC1EF3" w:rsidRPr="00D02AE8">
        <w:rPr>
          <w:rFonts w:cs="Times New Roman"/>
          <w:szCs w:val="24"/>
        </w:rPr>
        <w:t>.</w:t>
      </w:r>
    </w:p>
    <w:p w14:paraId="603CDE30" w14:textId="77777777" w:rsidR="007A4FC1" w:rsidRPr="006E1254" w:rsidRDefault="007A4FC1" w:rsidP="007A4FC1">
      <w:pPr>
        <w:autoSpaceDE w:val="0"/>
        <w:autoSpaceDN w:val="0"/>
        <w:adjustRightInd w:val="0"/>
        <w:rPr>
          <w:rFonts w:cs="Times New Roman"/>
          <w:szCs w:val="24"/>
        </w:rPr>
      </w:pPr>
    </w:p>
    <w:p w14:paraId="307BF9D1" w14:textId="77777777" w:rsidR="00AF531F" w:rsidRPr="00F65089" w:rsidRDefault="00447E9C" w:rsidP="00AF531F">
      <w:pPr>
        <w:ind w:firstLine="720"/>
        <w:rPr>
          <w:i/>
          <w:iCs/>
        </w:rPr>
      </w:pPr>
      <w:r w:rsidRPr="00447E9C">
        <w:t xml:space="preserve">For a discussion of the public function test, </w:t>
      </w:r>
      <w:r w:rsidRPr="00447E9C">
        <w:rPr>
          <w:i/>
          <w:iCs/>
        </w:rPr>
        <w:t xml:space="preserve">see Florer v. Congregation Pidyon </w:t>
      </w:r>
      <w:proofErr w:type="spellStart"/>
      <w:r w:rsidRPr="00447E9C">
        <w:rPr>
          <w:i/>
          <w:iCs/>
        </w:rPr>
        <w:t>Shevuyim</w:t>
      </w:r>
      <w:proofErr w:type="spellEnd"/>
      <w:r w:rsidRPr="00447E9C">
        <w:rPr>
          <w:i/>
          <w:iCs/>
        </w:rPr>
        <w:t>, N.A.</w:t>
      </w:r>
      <w:r w:rsidRPr="00447E9C">
        <w:t>,</w:t>
      </w:r>
      <w:r w:rsidRPr="00447E9C">
        <w:rPr>
          <w:i/>
          <w:iCs/>
        </w:rPr>
        <w:t xml:space="preserve"> </w:t>
      </w:r>
      <w:r w:rsidRPr="00447E9C">
        <w:t xml:space="preserve">639 F.3d 916, 924-26 (9th Cir. 2011); </w:t>
      </w:r>
      <w:r w:rsidRPr="00447E9C">
        <w:rPr>
          <w:i/>
          <w:iCs/>
        </w:rPr>
        <w:t>Wright</w:t>
      </w:r>
      <w:r w:rsidRPr="00447E9C">
        <w:t xml:space="preserve">, 48 F.4th at 1124. </w:t>
      </w:r>
      <w:r w:rsidR="007A4FC1" w:rsidRPr="006E1254">
        <w:t xml:space="preserve">For a discussion of the </w:t>
      </w:r>
      <w:r w:rsidR="007A4FC1" w:rsidRPr="006E1254">
        <w:lastRenderedPageBreak/>
        <w:t xml:space="preserve">joint action test, </w:t>
      </w:r>
      <w:r w:rsidR="007A4FC1" w:rsidRPr="006E1254">
        <w:rPr>
          <w:i/>
          <w:iCs/>
        </w:rPr>
        <w:t>see</w:t>
      </w:r>
      <w:r w:rsidR="007A4FC1" w:rsidRPr="006E1254">
        <w:t xml:space="preserve"> </w:t>
      </w:r>
      <w:r w:rsidR="007A4FC1" w:rsidRPr="006E1254">
        <w:rPr>
          <w:i/>
          <w:iCs/>
        </w:rPr>
        <w:t>Pasadena Republican Club v. W. Justice Ctr.</w:t>
      </w:r>
      <w:r w:rsidR="007A4FC1" w:rsidRPr="006E1254">
        <w:t>, 985 F.3d 1161, 1167</w:t>
      </w:r>
      <w:r w:rsidR="005C725F">
        <w:t>-</w:t>
      </w:r>
      <w:r w:rsidR="007A4FC1" w:rsidRPr="006E1254">
        <w:t>71 (9th Cir. 2021).</w:t>
      </w:r>
      <w:r w:rsidR="003F604E">
        <w:t xml:space="preserve"> </w:t>
      </w:r>
      <w:r w:rsidRPr="00447E9C">
        <w:t xml:space="preserve">For a discussion of the state compulsion test, </w:t>
      </w:r>
      <w:r w:rsidRPr="00447E9C">
        <w:rPr>
          <w:i/>
          <w:iCs/>
        </w:rPr>
        <w:t>see Johnson v. Knowles</w:t>
      </w:r>
      <w:r w:rsidRPr="00447E9C">
        <w:t>, 113 F.3d 1114, 1119-20 (9th Cir. 1997).</w:t>
      </w:r>
      <w:r w:rsidR="003F604E">
        <w:t xml:space="preserve"> </w:t>
      </w:r>
      <w:r w:rsidR="003F604E" w:rsidRPr="003F604E">
        <w:rPr>
          <w:rFonts w:cs="Times New Roman"/>
          <w:szCs w:val="24"/>
        </w:rPr>
        <w:t xml:space="preserve">For a discussion of the governmental nexus test, </w:t>
      </w:r>
      <w:bookmarkStart w:id="4" w:name="Instruction_9.1"/>
      <w:bookmarkEnd w:id="4"/>
      <w:r w:rsidR="00AF531F" w:rsidRPr="00F65089">
        <w:rPr>
          <w:i/>
          <w:iCs/>
        </w:rPr>
        <w:t>see Lindke v. Freed</w:t>
      </w:r>
      <w:r w:rsidR="00AF531F" w:rsidRPr="00F65089">
        <w:t>,</w:t>
      </w:r>
    </w:p>
    <w:p w14:paraId="7A011D04" w14:textId="101A77C3" w:rsidR="00AF531F" w:rsidRPr="00F65089" w:rsidRDefault="00AF531F" w:rsidP="00AF531F">
      <w:r w:rsidRPr="00F65089">
        <w:rPr>
          <w:rFonts w:cs="Times New Roman"/>
          <w:szCs w:val="24"/>
        </w:rPr>
        <w:t>601 U.S. 187, 199 (2024) (</w:t>
      </w:r>
      <w:r w:rsidRPr="00F65089">
        <w:t xml:space="preserve">holding that where a </w:t>
      </w:r>
      <w:r w:rsidRPr="00F65089">
        <w:rPr>
          <w:rFonts w:cs="Times New Roman"/>
          <w:szCs w:val="24"/>
        </w:rPr>
        <w:t>city manager deleted comments from posts on his individual social media page and blocked the commenter, a showing of state action would require a plaintiff to show that the city manager “(1) had actual authority to speak on behalf of the State on a particular matter, and</w:t>
      </w:r>
      <w:r w:rsidRPr="00F65089">
        <w:t xml:space="preserve"> </w:t>
      </w:r>
      <w:r w:rsidRPr="00F65089">
        <w:rPr>
          <w:rFonts w:cs="Times New Roman"/>
          <w:szCs w:val="24"/>
        </w:rPr>
        <w:t>(2) purported to exercise that authority in the relevant posts”).</w:t>
      </w:r>
    </w:p>
    <w:p w14:paraId="5C101F53" w14:textId="04FD4E99" w:rsidR="003F604E" w:rsidRPr="003F604E" w:rsidRDefault="003F604E" w:rsidP="00CC0033">
      <w:pPr>
        <w:ind w:firstLine="720"/>
        <w:rPr>
          <w:rFonts w:cs="Times New Roman"/>
          <w:szCs w:val="24"/>
        </w:rPr>
      </w:pPr>
    </w:p>
    <w:p w14:paraId="2A7C1548" w14:textId="77777777" w:rsidR="00BA7254" w:rsidRPr="006E1254" w:rsidRDefault="00BA7254" w:rsidP="007A4FC1">
      <w:pPr>
        <w:autoSpaceDE w:val="0"/>
        <w:autoSpaceDN w:val="0"/>
        <w:adjustRightInd w:val="0"/>
        <w:rPr>
          <w:rFonts w:cs="Times New Roman"/>
          <w:szCs w:val="24"/>
        </w:rPr>
      </w:pPr>
    </w:p>
    <w:p w14:paraId="103579FD" w14:textId="22101A00" w:rsidR="007A4FC1" w:rsidRPr="006E1254" w:rsidRDefault="007A4FC1" w:rsidP="007A4FC1">
      <w:pPr>
        <w:autoSpaceDE w:val="0"/>
        <w:autoSpaceDN w:val="0"/>
        <w:adjustRightInd w:val="0"/>
        <w:jc w:val="right"/>
        <w:rPr>
          <w:rFonts w:cs="Times New Roman"/>
          <w:szCs w:val="24"/>
        </w:rPr>
      </w:pPr>
      <w:r w:rsidRPr="006E1254">
        <w:rPr>
          <w:rFonts w:cs="Times New Roman"/>
          <w:i/>
          <w:iCs/>
          <w:szCs w:val="24"/>
        </w:rPr>
        <w:t xml:space="preserve">Revised </w:t>
      </w:r>
      <w:r w:rsidR="00A156A3">
        <w:rPr>
          <w:rFonts w:cs="Times New Roman"/>
          <w:i/>
          <w:iCs/>
          <w:szCs w:val="24"/>
        </w:rPr>
        <w:t>March 2025</w:t>
      </w:r>
    </w:p>
    <w:p w14:paraId="1C22BF45" w14:textId="445C276C" w:rsidR="00C35252" w:rsidRDefault="00C35252" w:rsidP="007A4FC1"/>
    <w:sectPr w:rsidR="00C35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FC1"/>
    <w:rsid w:val="000952A7"/>
    <w:rsid w:val="000A00D9"/>
    <w:rsid w:val="001206BE"/>
    <w:rsid w:val="00287140"/>
    <w:rsid w:val="002D4011"/>
    <w:rsid w:val="002E6052"/>
    <w:rsid w:val="003F604E"/>
    <w:rsid w:val="00447E9C"/>
    <w:rsid w:val="0050216A"/>
    <w:rsid w:val="005360B9"/>
    <w:rsid w:val="005A343E"/>
    <w:rsid w:val="005C725F"/>
    <w:rsid w:val="005F4C49"/>
    <w:rsid w:val="00667326"/>
    <w:rsid w:val="006E1254"/>
    <w:rsid w:val="007A4FC1"/>
    <w:rsid w:val="00920628"/>
    <w:rsid w:val="00A156A3"/>
    <w:rsid w:val="00AF531F"/>
    <w:rsid w:val="00BA7254"/>
    <w:rsid w:val="00BD0BF5"/>
    <w:rsid w:val="00BE0F07"/>
    <w:rsid w:val="00C35252"/>
    <w:rsid w:val="00CC0033"/>
    <w:rsid w:val="00D02AE8"/>
    <w:rsid w:val="00D34C68"/>
    <w:rsid w:val="00D75B92"/>
    <w:rsid w:val="00DC1EF3"/>
    <w:rsid w:val="00E1581C"/>
    <w:rsid w:val="00ED0333"/>
    <w:rsid w:val="00F65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0A1A1"/>
  <w15:chartTrackingRefBased/>
  <w15:docId w15:val="{90252895-695A-4D80-945F-973FDE73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FC1"/>
    <w:pPr>
      <w:spacing w:after="0" w:line="240" w:lineRule="auto"/>
    </w:pPr>
    <w:rPr>
      <w:rFonts w:ascii="Times New Roman" w:hAnsi="Times New Roman"/>
      <w:sz w:val="24"/>
    </w:rPr>
  </w:style>
  <w:style w:type="paragraph" w:styleId="Heading2">
    <w:name w:val="heading 2"/>
    <w:basedOn w:val="Normal"/>
    <w:next w:val="Normal"/>
    <w:link w:val="Heading2Char"/>
    <w:uiPriority w:val="9"/>
    <w:unhideWhenUsed/>
    <w:qFormat/>
    <w:rsid w:val="007A4FC1"/>
    <w:pPr>
      <w:autoSpaceDE w:val="0"/>
      <w:autoSpaceDN w:val="0"/>
      <w:adjustRightInd w:val="0"/>
      <w:jc w:val="center"/>
      <w:outlineLvl w:val="1"/>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4FC1"/>
    <w:rPr>
      <w:rFonts w:ascii="Times New Roman" w:hAnsi="Times New Roman" w:cs="Times New Roman"/>
      <w:b/>
      <w:bCs/>
      <w:sz w:val="24"/>
      <w:szCs w:val="24"/>
    </w:rPr>
  </w:style>
  <w:style w:type="paragraph" w:styleId="BodyText">
    <w:name w:val="Body Text"/>
    <w:basedOn w:val="Normal"/>
    <w:link w:val="BodyTextChar"/>
    <w:uiPriority w:val="1"/>
    <w:qFormat/>
    <w:rsid w:val="007A4FC1"/>
    <w:pPr>
      <w:widowControl w:val="0"/>
      <w:autoSpaceDE w:val="0"/>
      <w:autoSpaceDN w:val="0"/>
    </w:pPr>
    <w:rPr>
      <w:rFonts w:eastAsia="Times New Roman" w:cs="Times New Roman"/>
      <w:szCs w:val="24"/>
    </w:rPr>
  </w:style>
  <w:style w:type="character" w:customStyle="1" w:styleId="BodyTextChar">
    <w:name w:val="Body Text Char"/>
    <w:basedOn w:val="DefaultParagraphFont"/>
    <w:link w:val="BodyText"/>
    <w:uiPriority w:val="1"/>
    <w:rsid w:val="007A4FC1"/>
    <w:rPr>
      <w:rFonts w:ascii="Times New Roman" w:eastAsia="Times New Roman" w:hAnsi="Times New Roman" w:cs="Times New Roman"/>
      <w:sz w:val="24"/>
      <w:szCs w:val="24"/>
    </w:rPr>
  </w:style>
  <w:style w:type="paragraph" w:styleId="Revision">
    <w:name w:val="Revision"/>
    <w:hidden/>
    <w:uiPriority w:val="99"/>
    <w:semiHidden/>
    <w:rsid w:val="003F604E"/>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930</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25</cp:revision>
  <dcterms:created xsi:type="dcterms:W3CDTF">2022-09-20T19:01:00Z</dcterms:created>
  <dcterms:modified xsi:type="dcterms:W3CDTF">2025-04-24T23:26:00Z</dcterms:modified>
</cp:coreProperties>
</file>