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9E83" w14:textId="77777777" w:rsidR="00610EC8" w:rsidRPr="004913BA" w:rsidRDefault="00610EC8" w:rsidP="00610EC8">
      <w:pPr>
        <w:pStyle w:val="Heading1"/>
      </w:pPr>
      <w:bookmarkStart w:id="0" w:name="_Toc167357266"/>
      <w:bookmarkStart w:id="1" w:name="_Toc184822661"/>
      <w:r w:rsidRPr="004913BA">
        <w:t>9.20 Particular Rights—Fourth Amendment—Unreasonable Seizure of Person—Generally</w:t>
      </w:r>
      <w:bookmarkEnd w:id="0"/>
      <w:bookmarkEnd w:id="1"/>
    </w:p>
    <w:p w14:paraId="2012C928" w14:textId="77777777" w:rsidR="00610EC8" w:rsidRPr="004913BA" w:rsidRDefault="00610EC8" w:rsidP="00610EC8">
      <w:pPr>
        <w:autoSpaceDE w:val="0"/>
        <w:autoSpaceDN w:val="0"/>
        <w:adjustRightInd w:val="0"/>
      </w:pPr>
    </w:p>
    <w:p w14:paraId="0BBBB48A" w14:textId="77777777" w:rsidR="00610EC8" w:rsidRPr="004913BA" w:rsidRDefault="00610EC8" w:rsidP="00610EC8">
      <w:pPr>
        <w:autoSpaceDE w:val="0"/>
        <w:autoSpaceDN w:val="0"/>
        <w:adjustRightInd w:val="0"/>
        <w:rPr>
          <w:b/>
        </w:rPr>
      </w:pPr>
      <w:r w:rsidRPr="004913BA">
        <w:tab/>
        <w:t>As previously explained, the plaintiff has the burden of proving that the act[s] of the defendants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Fourth Amendment to the Constitution when [</w:t>
      </w:r>
      <w:r w:rsidRPr="004913BA">
        <w:rPr>
          <w:i/>
          <w:u w:val="single"/>
        </w:rPr>
        <w:t>insert factual basis of the plaintiff’s claim</w:t>
      </w:r>
      <w:r w:rsidRPr="004913BA">
        <w:t xml:space="preserve">].  </w:t>
      </w:r>
    </w:p>
    <w:p w14:paraId="3B09BDAB" w14:textId="77777777" w:rsidR="00610EC8" w:rsidRPr="004913BA" w:rsidRDefault="00610EC8" w:rsidP="00610EC8">
      <w:pPr>
        <w:autoSpaceDE w:val="0"/>
        <w:autoSpaceDN w:val="0"/>
        <w:adjustRightInd w:val="0"/>
      </w:pPr>
    </w:p>
    <w:p w14:paraId="7FBE110C" w14:textId="77777777" w:rsidR="00610EC8" w:rsidRPr="004913BA" w:rsidRDefault="00610EC8" w:rsidP="00610EC8">
      <w:pPr>
        <w:autoSpaceDE w:val="0"/>
        <w:autoSpaceDN w:val="0"/>
        <w:adjustRightInd w:val="0"/>
      </w:pPr>
      <w:r w:rsidRPr="004913BA">
        <w:tab/>
        <w:t>Under the Fourth Amendment, a person has the right to be free from an unreasonable seizure of [his] [her] [</w:t>
      </w:r>
      <w:proofErr w:type="gramStart"/>
      <w:r w:rsidRPr="00FC46FC">
        <w:t>other</w:t>
      </w:r>
      <w:proofErr w:type="gramEnd"/>
      <w:r w:rsidRPr="00FC46FC">
        <w:t xml:space="preserve"> pronoun</w:t>
      </w:r>
      <w:r w:rsidRPr="004913BA">
        <w:t>] person. In order to prove the defendant deprived the plaintiff of this Fourth Amendment right, the plaintiff must prove the following additional elements by a preponderance of the evidence:</w:t>
      </w:r>
    </w:p>
    <w:p w14:paraId="39A107F3" w14:textId="77777777" w:rsidR="00610EC8" w:rsidRPr="004913BA" w:rsidRDefault="00610EC8" w:rsidP="00610EC8">
      <w:pPr>
        <w:autoSpaceDE w:val="0"/>
        <w:autoSpaceDN w:val="0"/>
        <w:adjustRightInd w:val="0"/>
      </w:pPr>
    </w:p>
    <w:p w14:paraId="71BAC23A" w14:textId="77777777" w:rsidR="00610EC8" w:rsidRPr="004913BA" w:rsidRDefault="00610EC8" w:rsidP="00610EC8">
      <w:pPr>
        <w:autoSpaceDE w:val="0"/>
        <w:autoSpaceDN w:val="0"/>
        <w:adjustRightInd w:val="0"/>
        <w:ind w:left="1440" w:hanging="720"/>
      </w:pPr>
      <w:r w:rsidRPr="00844EC5">
        <w:rPr>
          <w:rFonts w:eastAsia="Calibri" w:cs="Times New Roman"/>
        </w:rPr>
        <w:t xml:space="preserve">First, </w:t>
      </w:r>
      <w:r>
        <w:rPr>
          <w:rFonts w:cs="Times New Roman"/>
          <w:szCs w:val="24"/>
        </w:rPr>
        <w:t xml:space="preserve">the </w:t>
      </w:r>
      <w:r w:rsidRPr="00FC46FC">
        <w:t>defendant</w:t>
      </w:r>
      <w:r w:rsidRPr="004913BA">
        <w:t xml:space="preserve"> seized the plaintiff’s </w:t>
      </w:r>
      <w:proofErr w:type="gramStart"/>
      <w:r w:rsidRPr="004913BA">
        <w:t>person;</w:t>
      </w:r>
      <w:proofErr w:type="gramEnd"/>
    </w:p>
    <w:p w14:paraId="24BA19D1" w14:textId="77777777" w:rsidR="00610EC8" w:rsidRPr="004913BA" w:rsidRDefault="00610EC8" w:rsidP="00610EC8">
      <w:pPr>
        <w:autoSpaceDE w:val="0"/>
        <w:autoSpaceDN w:val="0"/>
        <w:adjustRightInd w:val="0"/>
      </w:pPr>
    </w:p>
    <w:p w14:paraId="127D2C63" w14:textId="77777777" w:rsidR="00610EC8" w:rsidRPr="004913BA" w:rsidRDefault="00610EC8" w:rsidP="00610EC8">
      <w:pPr>
        <w:autoSpaceDE w:val="0"/>
        <w:autoSpaceDN w:val="0"/>
        <w:adjustRightInd w:val="0"/>
        <w:ind w:left="1440" w:hanging="720"/>
      </w:pPr>
      <w:r w:rsidRPr="00844EC5">
        <w:rPr>
          <w:rFonts w:eastAsia="Calibri" w:cs="Times New Roman"/>
        </w:rPr>
        <w:t xml:space="preserve">Second, </w:t>
      </w:r>
      <w:r w:rsidRPr="004913BA">
        <w:t xml:space="preserve">in seizing the plaintiff’s person, </w:t>
      </w:r>
      <w:r>
        <w:rPr>
          <w:rFonts w:cs="Times New Roman"/>
          <w:szCs w:val="24"/>
        </w:rPr>
        <w:t>the defendant</w:t>
      </w:r>
      <w:r w:rsidRPr="004913BA">
        <w:t xml:space="preserve"> acted intentionally; and</w:t>
      </w:r>
    </w:p>
    <w:p w14:paraId="671C940D" w14:textId="77777777" w:rsidR="00610EC8" w:rsidRPr="004913BA" w:rsidRDefault="00610EC8" w:rsidP="00610EC8"/>
    <w:p w14:paraId="4E689881" w14:textId="77777777" w:rsidR="00610EC8" w:rsidRPr="004913BA" w:rsidRDefault="00610EC8" w:rsidP="00610EC8">
      <w:pPr>
        <w:autoSpaceDE w:val="0"/>
        <w:autoSpaceDN w:val="0"/>
        <w:adjustRightInd w:val="0"/>
        <w:ind w:left="1440" w:hanging="720"/>
      </w:pPr>
      <w:r w:rsidRPr="00844EC5">
        <w:rPr>
          <w:rFonts w:eastAsia="Calibri" w:cs="Times New Roman"/>
        </w:rPr>
        <w:t xml:space="preserve">Third, </w:t>
      </w:r>
      <w:r w:rsidRPr="004913BA">
        <w:t>the seizure was unreasonable.</w:t>
      </w:r>
    </w:p>
    <w:p w14:paraId="1DAF6847" w14:textId="77777777" w:rsidR="00610EC8" w:rsidRPr="004913BA" w:rsidRDefault="00610EC8" w:rsidP="00610EC8">
      <w:pPr>
        <w:autoSpaceDE w:val="0"/>
        <w:autoSpaceDN w:val="0"/>
        <w:adjustRightInd w:val="0"/>
      </w:pPr>
    </w:p>
    <w:p w14:paraId="6D403658" w14:textId="77777777" w:rsidR="00610EC8" w:rsidRPr="004913BA" w:rsidRDefault="00610EC8" w:rsidP="00610EC8">
      <w:pPr>
        <w:autoSpaceDE w:val="0"/>
        <w:autoSpaceDN w:val="0"/>
        <w:adjustRightInd w:val="0"/>
      </w:pPr>
      <w:r w:rsidRPr="004913BA">
        <w:tab/>
        <w:t xml:space="preserve">A defendant “seizes” the plaintiff’s person when [he] [she] </w:t>
      </w:r>
      <w:r w:rsidRPr="00FC46FC">
        <w:t xml:space="preserve">[other pronoun] </w:t>
      </w:r>
      <w:r w:rsidRPr="004913BA">
        <w:t xml:space="preserve">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FC46FC">
        <w:t>[other pronoun</w:t>
      </w:r>
      <w:r w:rsidRPr="004913BA">
        <w:t>] business.</w:t>
      </w:r>
    </w:p>
    <w:p w14:paraId="5371C3E8" w14:textId="77777777" w:rsidR="00610EC8" w:rsidRPr="004913BA" w:rsidRDefault="00610EC8" w:rsidP="00610EC8">
      <w:pPr>
        <w:autoSpaceDE w:val="0"/>
        <w:autoSpaceDN w:val="0"/>
        <w:adjustRightInd w:val="0"/>
      </w:pPr>
    </w:p>
    <w:p w14:paraId="4E757186" w14:textId="77777777" w:rsidR="00610EC8" w:rsidRPr="004913BA" w:rsidRDefault="00610EC8" w:rsidP="00610EC8">
      <w:pPr>
        <w:autoSpaceDE w:val="0"/>
        <w:autoSpaceDN w:val="0"/>
        <w:adjustRightInd w:val="0"/>
      </w:pPr>
      <w:r w:rsidRPr="004913BA">
        <w:tab/>
        <w:t>In determining whether a reasonable person in the plaintiff’s position would have felt free to leave, consider all of the circumstances, including:</w:t>
      </w:r>
    </w:p>
    <w:p w14:paraId="0A90FE25" w14:textId="77777777" w:rsidR="00610EC8" w:rsidRPr="004913BA" w:rsidRDefault="00610EC8" w:rsidP="00610EC8">
      <w:pPr>
        <w:autoSpaceDE w:val="0"/>
        <w:autoSpaceDN w:val="0"/>
        <w:adjustRightInd w:val="0"/>
      </w:pPr>
    </w:p>
    <w:p w14:paraId="77728A75" w14:textId="4A5CC71D" w:rsidR="00610EC8" w:rsidRPr="004913BA" w:rsidRDefault="00625770" w:rsidP="00610EC8">
      <w:pPr>
        <w:autoSpaceDE w:val="0"/>
        <w:autoSpaceDN w:val="0"/>
        <w:adjustRightInd w:val="0"/>
        <w:ind w:left="1440" w:hanging="720"/>
      </w:pPr>
      <w:r>
        <w:t>(</w:t>
      </w:r>
      <w:r w:rsidR="00610EC8" w:rsidRPr="004913BA">
        <w:t>1</w:t>
      </w:r>
      <w:r>
        <w:t>)</w:t>
      </w:r>
      <w:r w:rsidR="00610EC8" w:rsidRPr="004913BA">
        <w:tab/>
        <w:t xml:space="preserve">the number of officers </w:t>
      </w:r>
      <w:proofErr w:type="gramStart"/>
      <w:r w:rsidR="00610EC8" w:rsidRPr="004913BA">
        <w:t>present;</w:t>
      </w:r>
      <w:proofErr w:type="gramEnd"/>
    </w:p>
    <w:p w14:paraId="0036B37A" w14:textId="77777777" w:rsidR="00610EC8" w:rsidRPr="004913BA" w:rsidRDefault="00610EC8" w:rsidP="00610EC8">
      <w:pPr>
        <w:autoSpaceDE w:val="0"/>
        <w:autoSpaceDN w:val="0"/>
        <w:adjustRightInd w:val="0"/>
        <w:ind w:left="1440" w:hanging="720"/>
      </w:pPr>
    </w:p>
    <w:p w14:paraId="4D90044B" w14:textId="644F7594" w:rsidR="00610EC8" w:rsidRPr="004913BA" w:rsidRDefault="00625770" w:rsidP="00610EC8">
      <w:pPr>
        <w:autoSpaceDE w:val="0"/>
        <w:autoSpaceDN w:val="0"/>
        <w:adjustRightInd w:val="0"/>
        <w:ind w:left="1440" w:hanging="720"/>
      </w:pPr>
      <w:r>
        <w:t>(</w:t>
      </w:r>
      <w:r w:rsidR="00610EC8" w:rsidRPr="004913BA">
        <w:t>2</w:t>
      </w:r>
      <w:r>
        <w:t>)</w:t>
      </w:r>
      <w:r w:rsidR="00610EC8" w:rsidRPr="004913BA">
        <w:tab/>
        <w:t xml:space="preserve">whether weapons were </w:t>
      </w:r>
      <w:proofErr w:type="gramStart"/>
      <w:r w:rsidR="00610EC8" w:rsidRPr="004913BA">
        <w:t>displayed;</w:t>
      </w:r>
      <w:proofErr w:type="gramEnd"/>
    </w:p>
    <w:p w14:paraId="29019B33" w14:textId="77777777" w:rsidR="00610EC8" w:rsidRPr="004913BA" w:rsidRDefault="00610EC8" w:rsidP="00610EC8">
      <w:pPr>
        <w:autoSpaceDE w:val="0"/>
        <w:autoSpaceDN w:val="0"/>
        <w:adjustRightInd w:val="0"/>
        <w:ind w:left="1440" w:hanging="720"/>
      </w:pPr>
    </w:p>
    <w:p w14:paraId="3DABAF3F" w14:textId="575EAAFF" w:rsidR="00610EC8" w:rsidRPr="004913BA" w:rsidRDefault="00625770" w:rsidP="00610EC8">
      <w:pPr>
        <w:autoSpaceDE w:val="0"/>
        <w:autoSpaceDN w:val="0"/>
        <w:adjustRightInd w:val="0"/>
        <w:ind w:left="1440" w:hanging="720"/>
      </w:pPr>
      <w:r>
        <w:t>(</w:t>
      </w:r>
      <w:r w:rsidR="00610EC8" w:rsidRPr="004913BA">
        <w:t>3</w:t>
      </w:r>
      <w:r>
        <w:t>)</w:t>
      </w:r>
      <w:r w:rsidR="00610EC8" w:rsidRPr="004913BA">
        <w:tab/>
        <w:t xml:space="preserve">whether the encounter occurred in a public or nonpublic </w:t>
      </w:r>
      <w:proofErr w:type="gramStart"/>
      <w:r w:rsidR="00610EC8" w:rsidRPr="004913BA">
        <w:t>setting;</w:t>
      </w:r>
      <w:proofErr w:type="gramEnd"/>
      <w:r w:rsidR="00610EC8" w:rsidRPr="004913BA">
        <w:t xml:space="preserve"> </w:t>
      </w:r>
    </w:p>
    <w:p w14:paraId="7E6ED4CE" w14:textId="77777777" w:rsidR="00610EC8" w:rsidRPr="004913BA" w:rsidRDefault="00610EC8" w:rsidP="00610EC8">
      <w:pPr>
        <w:autoSpaceDE w:val="0"/>
        <w:autoSpaceDN w:val="0"/>
        <w:adjustRightInd w:val="0"/>
        <w:ind w:left="1440" w:hanging="720"/>
      </w:pPr>
    </w:p>
    <w:p w14:paraId="7CE6E9A1" w14:textId="65D2D89E" w:rsidR="00610EC8" w:rsidRPr="004913BA" w:rsidRDefault="00625770" w:rsidP="00610EC8">
      <w:pPr>
        <w:autoSpaceDE w:val="0"/>
        <w:autoSpaceDN w:val="0"/>
        <w:adjustRightInd w:val="0"/>
        <w:ind w:left="1440" w:hanging="720"/>
      </w:pPr>
      <w:r>
        <w:t>(</w:t>
      </w:r>
      <w:r w:rsidR="00610EC8" w:rsidRPr="004913BA">
        <w:t>4</w:t>
      </w:r>
      <w:r>
        <w:t>)</w:t>
      </w:r>
      <w:r w:rsidR="00610EC8" w:rsidRPr="004913BA">
        <w:tab/>
        <w:t xml:space="preserve">whether the officer’s manner would imply that compliance would be compelled; and </w:t>
      </w:r>
    </w:p>
    <w:p w14:paraId="419DBD00" w14:textId="77777777" w:rsidR="00610EC8" w:rsidRPr="004913BA" w:rsidRDefault="00610EC8" w:rsidP="00610EC8">
      <w:pPr>
        <w:autoSpaceDE w:val="0"/>
        <w:autoSpaceDN w:val="0"/>
        <w:adjustRightInd w:val="0"/>
        <w:ind w:left="1440" w:hanging="720"/>
      </w:pPr>
    </w:p>
    <w:p w14:paraId="5B68780C" w14:textId="202D093B" w:rsidR="00610EC8" w:rsidRPr="004913BA" w:rsidRDefault="004548C3" w:rsidP="00610EC8">
      <w:pPr>
        <w:autoSpaceDE w:val="0"/>
        <w:autoSpaceDN w:val="0"/>
        <w:adjustRightInd w:val="0"/>
        <w:ind w:left="1440" w:hanging="720"/>
      </w:pPr>
      <w:r>
        <w:t>(</w:t>
      </w:r>
      <w:r w:rsidR="00610EC8" w:rsidRPr="004913BA">
        <w:t>5</w:t>
      </w:r>
      <w:r>
        <w:t>)</w:t>
      </w:r>
      <w:r w:rsidR="00610EC8" w:rsidRPr="004913BA">
        <w:tab/>
        <w:t>whether the officers advised the plaintiff that [he] [she] [</w:t>
      </w:r>
      <w:proofErr w:type="gramStart"/>
      <w:r w:rsidR="00610EC8" w:rsidRPr="00FC46FC">
        <w:t>other</w:t>
      </w:r>
      <w:proofErr w:type="gramEnd"/>
      <w:r w:rsidR="00610EC8" w:rsidRPr="00FC46FC">
        <w:t xml:space="preserve"> pronoun</w:t>
      </w:r>
      <w:r w:rsidR="00610EC8" w:rsidRPr="004913BA">
        <w:t>] was free to leave.</w:t>
      </w:r>
    </w:p>
    <w:p w14:paraId="51D25666" w14:textId="77777777" w:rsidR="00610EC8" w:rsidRPr="004913BA" w:rsidRDefault="00610EC8" w:rsidP="00610EC8">
      <w:pPr>
        <w:autoSpaceDE w:val="0"/>
        <w:autoSpaceDN w:val="0"/>
        <w:adjustRightInd w:val="0"/>
      </w:pPr>
    </w:p>
    <w:p w14:paraId="0D49726E" w14:textId="77777777" w:rsidR="00610EC8" w:rsidRPr="004913BA" w:rsidRDefault="00610EC8" w:rsidP="00610EC8">
      <w:pPr>
        <w:autoSpaceDE w:val="0"/>
        <w:autoSpaceDN w:val="0"/>
        <w:adjustRightInd w:val="0"/>
        <w:rPr>
          <w:i/>
          <w:u w:val="single"/>
        </w:rPr>
      </w:pPr>
      <w:r w:rsidRPr="004913BA">
        <w:tab/>
        <w:t>[A person acts “intentionally” when the person acts with a conscious objective to engage in particular conduct. Therefore, the plaintiff must prove that the defendant intended to [</w:t>
      </w:r>
      <w:r w:rsidRPr="004913BA">
        <w:rPr>
          <w:i/>
          <w:u w:val="single"/>
        </w:rPr>
        <w:t>insert</w:t>
      </w:r>
    </w:p>
    <w:p w14:paraId="55B7A49A" w14:textId="77777777" w:rsidR="00610EC8" w:rsidRPr="004913BA" w:rsidRDefault="00610EC8" w:rsidP="00610EC8">
      <w:pPr>
        <w:autoSpaceDE w:val="0"/>
        <w:autoSpaceDN w:val="0"/>
        <w:adjustRightInd w:val="0"/>
      </w:pPr>
      <w:r w:rsidRPr="004913BA">
        <w:rPr>
          <w:i/>
          <w:u w:val="single"/>
        </w:rPr>
        <w:t>the factual basis for the plaintiff’s claim</w:t>
      </w:r>
      <w:r w:rsidRPr="004913BA">
        <w:t>]. It is not enough to prove that the defendant</w:t>
      </w:r>
    </w:p>
    <w:p w14:paraId="01327C18" w14:textId="77777777" w:rsidR="00610EC8" w:rsidRPr="004913BA" w:rsidRDefault="00610EC8" w:rsidP="00610EC8">
      <w:pPr>
        <w:autoSpaceDE w:val="0"/>
        <w:autoSpaceDN w:val="0"/>
        <w:adjustRightInd w:val="0"/>
      </w:pPr>
      <w:r w:rsidRPr="004913BA">
        <w:t>negligently or accidentally engaged in that action. But while the plaintiff must prove that the</w:t>
      </w:r>
    </w:p>
    <w:p w14:paraId="08CF5786" w14:textId="77777777" w:rsidR="00610EC8" w:rsidRPr="004913BA" w:rsidRDefault="00610EC8" w:rsidP="00610EC8">
      <w:pPr>
        <w:autoSpaceDE w:val="0"/>
        <w:autoSpaceDN w:val="0"/>
        <w:adjustRightInd w:val="0"/>
      </w:pPr>
      <w:r w:rsidRPr="004913BA">
        <w:t>defendant intended to act; the plaintiff need not prove that the defendant intended to violate the</w:t>
      </w:r>
    </w:p>
    <w:p w14:paraId="155D6901" w14:textId="77777777" w:rsidR="00610EC8" w:rsidRPr="004913BA" w:rsidRDefault="00610EC8" w:rsidP="00610EC8">
      <w:pPr>
        <w:autoSpaceDE w:val="0"/>
        <w:autoSpaceDN w:val="0"/>
        <w:adjustRightInd w:val="0"/>
      </w:pPr>
      <w:r w:rsidRPr="004913BA">
        <w:t>plaintiff’s Fourth Amendment rights.]</w:t>
      </w:r>
    </w:p>
    <w:p w14:paraId="3B92089E" w14:textId="77777777" w:rsidR="00610EC8" w:rsidRPr="004913BA" w:rsidRDefault="00610EC8" w:rsidP="00610EC8">
      <w:pPr>
        <w:autoSpaceDE w:val="0"/>
        <w:autoSpaceDN w:val="0"/>
        <w:adjustRightInd w:val="0"/>
      </w:pPr>
    </w:p>
    <w:p w14:paraId="6C616EE6" w14:textId="77777777" w:rsidR="00610EC8" w:rsidRPr="004913BA" w:rsidRDefault="00610EC8" w:rsidP="00610EC8">
      <w:pPr>
        <w:autoSpaceDE w:val="0"/>
        <w:autoSpaceDN w:val="0"/>
        <w:adjustRightInd w:val="0"/>
        <w:jc w:val="center"/>
      </w:pPr>
      <w:r w:rsidRPr="004913BA">
        <w:rPr>
          <w:b/>
        </w:rPr>
        <w:t>Comment</w:t>
      </w:r>
    </w:p>
    <w:p w14:paraId="70E85973" w14:textId="77777777" w:rsidR="00610EC8" w:rsidRPr="004913BA" w:rsidRDefault="00610EC8" w:rsidP="00610EC8">
      <w:pPr>
        <w:autoSpaceDE w:val="0"/>
        <w:autoSpaceDN w:val="0"/>
        <w:adjustRightInd w:val="0"/>
      </w:pPr>
    </w:p>
    <w:p w14:paraId="1CBC8033" w14:textId="77777777" w:rsidR="00610EC8" w:rsidRDefault="00610EC8" w:rsidP="00610EC8">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with an appropriate definition of an unreasonable seizure such as Instructions 9.21–9.25.</w:t>
      </w:r>
    </w:p>
    <w:p w14:paraId="2B6CB281" w14:textId="77777777" w:rsidR="00625770" w:rsidRPr="004913BA" w:rsidRDefault="00625770" w:rsidP="00610EC8">
      <w:pPr>
        <w:autoSpaceDE w:val="0"/>
        <w:autoSpaceDN w:val="0"/>
        <w:adjustRightInd w:val="0"/>
      </w:pPr>
    </w:p>
    <w:p w14:paraId="4DD103EC" w14:textId="77777777" w:rsidR="00625770" w:rsidRPr="00427C37" w:rsidRDefault="00625770" w:rsidP="004548C3">
      <w:pPr>
        <w:shd w:val="clear" w:color="auto" w:fill="FFFFFF"/>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068EDBE7" w14:textId="77777777" w:rsidR="00610EC8" w:rsidRPr="004913BA" w:rsidRDefault="00610EC8" w:rsidP="00610EC8">
      <w:pPr>
        <w:autoSpaceDE w:val="0"/>
        <w:autoSpaceDN w:val="0"/>
        <w:adjustRightInd w:val="0"/>
      </w:pPr>
    </w:p>
    <w:p w14:paraId="3196E950" w14:textId="77777777" w:rsidR="00610EC8" w:rsidRPr="004913BA" w:rsidRDefault="00610EC8" w:rsidP="00610EC8">
      <w:pPr>
        <w:autoSpaceDE w:val="0"/>
        <w:autoSpaceDN w:val="0"/>
        <w:adjustRightInd w:val="0"/>
      </w:pPr>
      <w:r w:rsidRPr="004913BA">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4913BA">
        <w:rPr>
          <w:i/>
        </w:rPr>
        <w:t>Graham v. Connor</w:t>
      </w:r>
      <w:r w:rsidRPr="004913BA">
        <w:t xml:space="preserve">, 490 U.S. 386, 395 n.10 (1989) (omissions in original) (quoting </w:t>
      </w:r>
      <w:r w:rsidRPr="004913BA">
        <w:rPr>
          <w:i/>
        </w:rPr>
        <w:t>Terry v. Ohio</w:t>
      </w:r>
      <w:r w:rsidRPr="004913BA">
        <w:t xml:space="preserve">, 392 U.S. 1, 19 n.16 (1968)). This may occur through coercion, physical force, or a show of authority. </w:t>
      </w:r>
      <w:r w:rsidRPr="004913BA">
        <w:rPr>
          <w:i/>
        </w:rPr>
        <w:t>United States v. Chan-Jimenez</w:t>
      </w:r>
      <w:r w:rsidRPr="004913BA">
        <w:t>, 125 F.3d 1324, 1326 (9th Cir. 1997). A person’s liberty is restrained when, “</w:t>
      </w:r>
      <w:proofErr w:type="gramStart"/>
      <w:r w:rsidRPr="004913BA">
        <w:t>taking into account</w:t>
      </w:r>
      <w:proofErr w:type="gramEnd"/>
      <w:r w:rsidRPr="004913BA">
        <w:t xml:space="preserve"> all of the circumstances surrounding the encounter, the police conduct would ‘have communicated to a reasonable person that he was not at liberty to ignore the police presence and go about his business.’” </w:t>
      </w:r>
      <w:r w:rsidRPr="004913BA">
        <w:rPr>
          <w:i/>
        </w:rPr>
        <w:t>Florida v. Bostick</w:t>
      </w:r>
      <w:r w:rsidRPr="004913BA">
        <w:t>, 501 U.S. 429, 437 (1991</w:t>
      </w:r>
      <w:r w:rsidRPr="006A4CD7">
        <w:rPr>
          <w:rFonts w:cs="Times New Roman"/>
          <w:szCs w:val="24"/>
        </w:rPr>
        <w:t>);</w:t>
      </w:r>
      <w:r w:rsidRPr="004913BA">
        <w:t xml:space="preserve"> </w:t>
      </w:r>
      <w:r w:rsidRPr="004913BA">
        <w:rPr>
          <w:i/>
        </w:rPr>
        <w:t>see also Dees v. County of San Diego</w:t>
      </w:r>
      <w:r w:rsidRPr="004913BA">
        <w:t>, 960 F.3d 1145, 1154 (9th Cir. 2020)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w:t>
      </w:r>
    </w:p>
    <w:p w14:paraId="058164FA" w14:textId="77777777" w:rsidR="00610EC8" w:rsidRPr="004913BA" w:rsidRDefault="00610EC8" w:rsidP="00610EC8">
      <w:pPr>
        <w:autoSpaceDE w:val="0"/>
        <w:autoSpaceDN w:val="0"/>
        <w:adjustRightInd w:val="0"/>
      </w:pPr>
    </w:p>
    <w:p w14:paraId="500B862A" w14:textId="7B1D219B" w:rsidR="00610EC8" w:rsidRPr="004913BA" w:rsidRDefault="00610EC8" w:rsidP="00610EC8">
      <w:pPr>
        <w:autoSpaceDE w:val="0"/>
        <w:autoSpaceDN w:val="0"/>
        <w:adjustRightInd w:val="0"/>
        <w:ind w:firstLine="720"/>
      </w:pPr>
      <w:r w:rsidRPr="004913BA">
        <w:t xml:space="preserve">A seizure requires the use of force with an intent to restrain. The Supreme Court has defined a seizure of a person as “a governmental termination of freedom of movement </w:t>
      </w:r>
      <w:r w:rsidRPr="004913BA">
        <w:rPr>
          <w:i/>
        </w:rPr>
        <w:t>through means intentionally applied</w:t>
      </w:r>
      <w:r w:rsidRPr="004913BA">
        <w:t xml:space="preserve">.” </w:t>
      </w:r>
      <w:r w:rsidRPr="004913BA">
        <w:rPr>
          <w:i/>
        </w:rPr>
        <w:t>Brower v. County of Inyo</w:t>
      </w:r>
      <w:r w:rsidRPr="004913BA">
        <w:t xml:space="preserve">, 489 U.S. 593, 596-97 (1989) (emphasis in original); </w:t>
      </w:r>
      <w:r w:rsidRPr="004913BA">
        <w:rPr>
          <w:i/>
        </w:rPr>
        <w:t>see also</w:t>
      </w:r>
      <w:r w:rsidRPr="004913BA">
        <w:t xml:space="preserve"> </w:t>
      </w:r>
      <w:r w:rsidRPr="004913BA">
        <w:rPr>
          <w:i/>
        </w:rPr>
        <w:t>Torres v. Madrid,</w:t>
      </w:r>
      <w:r w:rsidRPr="004913BA">
        <w:t xml:space="preserve"> 592 U.S. 306, 317 (2021) (“A seizure requires the use of force with intent to restrain. Accidental force will not qualify.”); </w:t>
      </w:r>
      <w:proofErr w:type="spellStart"/>
      <w:r w:rsidRPr="004913BA">
        <w:rPr>
          <w:i/>
        </w:rPr>
        <w:t>Brendlin</w:t>
      </w:r>
      <w:proofErr w:type="spellEnd"/>
      <w:r w:rsidRPr="004913BA">
        <w:rPr>
          <w:i/>
        </w:rPr>
        <w:t xml:space="preserve"> v. California</w:t>
      </w:r>
      <w:r w:rsidRPr="004913BA">
        <w:t xml:space="preserve">, 551 U.S. 249, 254 (2007). Thus, this instruction includes an optional definition of the term “intentionally” for use when it would be helpful to the jury.  </w:t>
      </w:r>
      <w:r>
        <w:rPr>
          <w:rFonts w:cs="Times New Roman"/>
          <w:szCs w:val="24"/>
        </w:rPr>
        <w:t>“[A]</w:t>
      </w:r>
      <w:r w:rsidRPr="004913BA">
        <w:t xml:space="preserve"> passenger struck by a bullet intended to stop the driver of a vehicle” has been seized. </w:t>
      </w:r>
      <w:r w:rsidRPr="004913BA">
        <w:rPr>
          <w:i/>
        </w:rPr>
        <w:t>Villanueva v.</w:t>
      </w:r>
      <w:r w:rsidRPr="00FC46FC">
        <w:rPr>
          <w:i/>
        </w:rPr>
        <w:t xml:space="preserve"> </w:t>
      </w:r>
      <w:r w:rsidRPr="004913BA">
        <w:rPr>
          <w:i/>
        </w:rPr>
        <w:t>California</w:t>
      </w:r>
      <w:r w:rsidRPr="004913BA">
        <w:t>, 986 F.3d 1158, 1165 (9th Cir. 2021).</w:t>
      </w:r>
      <w:r w:rsidR="002F5CD2">
        <w:t xml:space="preserve"> </w:t>
      </w:r>
      <w:r w:rsidR="002F5CD2" w:rsidRPr="002F5CD2">
        <w:t xml:space="preserve">In </w:t>
      </w:r>
      <w:r w:rsidR="002F5CD2" w:rsidRPr="002F5CD2">
        <w:rPr>
          <w:i/>
          <w:iCs/>
        </w:rPr>
        <w:t>Sanderlin v. Panighetti</w:t>
      </w:r>
      <w:r w:rsidR="002F5CD2" w:rsidRPr="002F5CD2">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002F5CD2" w:rsidRPr="002F5CD2">
        <w:rPr>
          <w:i/>
          <w:iCs/>
        </w:rPr>
        <w:t>Id.</w:t>
      </w:r>
      <w:r w:rsidR="002F5CD2" w:rsidRPr="002F5CD2">
        <w:t xml:space="preserve"> Further, the method of force that the defendant used—firing foam batons—incapacitated its target, and a reasonable trier of fact could </w:t>
      </w:r>
      <w:r w:rsidR="002F5CD2" w:rsidRPr="002F5CD2">
        <w:lastRenderedPageBreak/>
        <w:t xml:space="preserve">conclude that by firing a projectile at plaintiff, the defendant objectively manifested an intent to restrain the plaintiff. </w:t>
      </w:r>
      <w:r w:rsidR="002F5CD2" w:rsidRPr="002F5CD2">
        <w:rPr>
          <w:i/>
          <w:iCs/>
        </w:rPr>
        <w:t>Id.</w:t>
      </w:r>
      <w:r w:rsidR="002F5CD2" w:rsidRPr="002F5CD2">
        <w:t xml:space="preserve"> The defendant’s subjective intent was irrelevant. </w:t>
      </w:r>
      <w:r w:rsidR="002F5CD2" w:rsidRPr="002F5CD2">
        <w:rPr>
          <w:i/>
          <w:iCs/>
        </w:rPr>
        <w:t>Id.</w:t>
      </w:r>
    </w:p>
    <w:p w14:paraId="6526CDB3" w14:textId="77777777" w:rsidR="00610EC8" w:rsidRPr="004913BA" w:rsidRDefault="00610EC8" w:rsidP="00610EC8">
      <w:pPr>
        <w:autoSpaceDE w:val="0"/>
        <w:autoSpaceDN w:val="0"/>
        <w:adjustRightInd w:val="0"/>
      </w:pPr>
    </w:p>
    <w:p w14:paraId="1CAE4111" w14:textId="75C7844F" w:rsidR="00610EC8" w:rsidRPr="004913BA" w:rsidRDefault="00610EC8" w:rsidP="00610EC8">
      <w:pPr>
        <w:autoSpaceDE w:val="0"/>
        <w:autoSpaceDN w:val="0"/>
        <w:adjustRightInd w:val="0"/>
        <w:ind w:firstLine="720"/>
      </w:pPr>
      <w:r w:rsidRPr="004913BA">
        <w:t xml:space="preserve">A seizure, however, “does not occur simply because a police officer approaches an individual and asks a few questions.” </w:t>
      </w:r>
      <w:r w:rsidRPr="004913BA">
        <w:rPr>
          <w:i/>
        </w:rPr>
        <w:t>Bostick,</w:t>
      </w:r>
      <w:r w:rsidRPr="004913BA">
        <w:t xml:space="preserve"> 501 U.S. at 434; </w:t>
      </w:r>
      <w:r w:rsidRPr="004913BA">
        <w:rPr>
          <w:i/>
        </w:rPr>
        <w:t>accord United States v. Brown</w:t>
      </w:r>
      <w:r w:rsidRPr="004913BA">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4913BA">
        <w:rPr>
          <w:i/>
        </w:rPr>
        <w:t>United States v. Mendenhall</w:t>
      </w:r>
      <w:r w:rsidRPr="004913BA">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4913BA">
        <w:rPr>
          <w:i/>
        </w:rPr>
        <w:t>see also Dees</w:t>
      </w:r>
      <w:r w:rsidRPr="004913BA">
        <w:t>,</w:t>
      </w:r>
      <w:r w:rsidRPr="00FC46FC">
        <w:rPr>
          <w:i/>
        </w:rPr>
        <w:t xml:space="preserve"> </w:t>
      </w:r>
      <w:r w:rsidRPr="004913BA">
        <w:t xml:space="preserve">960 F.3d </w:t>
      </w:r>
      <w:r>
        <w:rPr>
          <w:rFonts w:cs="Times New Roman"/>
          <w:szCs w:val="24"/>
        </w:rPr>
        <w:t>at</w:t>
      </w:r>
      <w:r w:rsidRPr="004913BA">
        <w:t xml:space="preserve"> 1154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In addition, a seizure “requires either physical force … or, where that is absent, submission to the assertion of authority.” </w:t>
      </w:r>
      <w:r w:rsidRPr="004913BA">
        <w:rPr>
          <w:i/>
        </w:rPr>
        <w:t>California v. Hodari D</w:t>
      </w:r>
      <w:r w:rsidRPr="004913BA">
        <w:t xml:space="preserve">., 499 U.S. 621, 626 (1991); </w:t>
      </w:r>
      <w:r w:rsidRPr="004913BA">
        <w:rPr>
          <w:i/>
        </w:rPr>
        <w:t>Hill v. City of Fountain Valley</w:t>
      </w:r>
      <w:r w:rsidRPr="004913BA">
        <w:t xml:space="preserve">, 70 F.4th 507, 514 (9th Cir. 2023) (“Put another way, if a plaintiff did not comply with an officer’s orders, then the officer did not seize the plaintiff.”). Attempted seizures are not protected by the Fourth Amendment. </w:t>
      </w:r>
      <w:r w:rsidRPr="004913BA">
        <w:rPr>
          <w:i/>
        </w:rPr>
        <w:t>County of Sacramento v. Lewis</w:t>
      </w:r>
      <w:r w:rsidRPr="004913BA">
        <w:t xml:space="preserve">, 523 U.S. 833, 845 n.7 (1998) (“Attempted seizures </w:t>
      </w:r>
      <w:r>
        <w:rPr>
          <w:rFonts w:eastAsia="Calibri" w:cs="Times New Roman"/>
        </w:rPr>
        <w:t>. . .</w:t>
      </w:r>
      <w:r w:rsidRPr="005C494B">
        <w:rPr>
          <w:rFonts w:cs="Times New Roman"/>
          <w:szCs w:val="24"/>
        </w:rPr>
        <w:t xml:space="preserve"> are beyond the scope of the Fourth Amendment.”</w:t>
      </w:r>
      <w:r>
        <w:rPr>
          <w:rFonts w:cs="Times New Roman"/>
          <w:szCs w:val="24"/>
        </w:rPr>
        <w:t xml:space="preserve">); </w:t>
      </w:r>
      <w:r w:rsidRPr="006B15F3">
        <w:rPr>
          <w:rFonts w:cs="Times New Roman"/>
          <w:i/>
          <w:iCs/>
          <w:szCs w:val="24"/>
        </w:rPr>
        <w:t>Cuevas v. City of Tulare</w:t>
      </w:r>
      <w:r w:rsidRPr="006B15F3">
        <w:rPr>
          <w:rFonts w:cs="Times New Roman"/>
          <w:szCs w:val="24"/>
        </w:rPr>
        <w:t xml:space="preserve">, 107 F.4th 894, 899 (9th Cir. 2024) (holding that </w:t>
      </w:r>
      <w:r>
        <w:rPr>
          <w:rFonts w:cs="Times New Roman"/>
          <w:szCs w:val="24"/>
        </w:rPr>
        <w:t xml:space="preserve">a </w:t>
      </w:r>
      <w:r w:rsidRPr="006B15F3">
        <w:rPr>
          <w:rFonts w:cs="Times New Roman"/>
          <w:szCs w:val="24"/>
        </w:rPr>
        <w:t xml:space="preserve">driver was not seized when </w:t>
      </w:r>
      <w:r>
        <w:rPr>
          <w:rFonts w:cs="Times New Roman"/>
          <w:szCs w:val="24"/>
        </w:rPr>
        <w:t xml:space="preserve">the </w:t>
      </w:r>
      <w:r w:rsidRPr="006B15F3">
        <w:rPr>
          <w:rFonts w:cs="Times New Roman"/>
          <w:szCs w:val="24"/>
        </w:rPr>
        <w:t>driver’s vehicle became stuck in</w:t>
      </w:r>
      <w:r>
        <w:rPr>
          <w:rFonts w:cs="Times New Roman"/>
          <w:szCs w:val="24"/>
        </w:rPr>
        <w:t xml:space="preserve"> the</w:t>
      </w:r>
      <w:r w:rsidRPr="006B15F3">
        <w:rPr>
          <w:rFonts w:cs="Times New Roman"/>
          <w:szCs w:val="24"/>
        </w:rPr>
        <w:t xml:space="preserve"> mud on </w:t>
      </w:r>
      <w:r>
        <w:rPr>
          <w:rFonts w:cs="Times New Roman"/>
          <w:szCs w:val="24"/>
        </w:rPr>
        <w:t xml:space="preserve">the </w:t>
      </w:r>
      <w:r w:rsidRPr="006B15F3">
        <w:rPr>
          <w:rFonts w:cs="Times New Roman"/>
          <w:szCs w:val="24"/>
        </w:rPr>
        <w:t>roadside as driver attempted to</w:t>
      </w:r>
      <w:r>
        <w:rPr>
          <w:rFonts w:cs="Times New Roman"/>
          <w:szCs w:val="24"/>
        </w:rPr>
        <w:t xml:space="preserve"> </w:t>
      </w:r>
      <w:r w:rsidRPr="006B15F3">
        <w:rPr>
          <w:rFonts w:cs="Times New Roman"/>
          <w:szCs w:val="24"/>
        </w:rPr>
        <w:t>flee</w:t>
      </w:r>
      <w:r>
        <w:rPr>
          <w:rFonts w:cs="Times New Roman"/>
          <w:szCs w:val="24"/>
        </w:rPr>
        <w:t xml:space="preserve"> a</w:t>
      </w:r>
      <w:r w:rsidRPr="006B15F3">
        <w:rPr>
          <w:rFonts w:cs="Times New Roman"/>
          <w:szCs w:val="24"/>
        </w:rPr>
        <w:t xml:space="preserve"> felony stop but was seized when officer put police canine through broken window of vehicle, instructing canine to bite driver, and when officers fired at driver after driver shot </w:t>
      </w:r>
      <w:r>
        <w:rPr>
          <w:rFonts w:cs="Times New Roman"/>
          <w:szCs w:val="24"/>
        </w:rPr>
        <w:t xml:space="preserve">the </w:t>
      </w:r>
      <w:r w:rsidRPr="006B15F3">
        <w:rPr>
          <w:rFonts w:cs="Times New Roman"/>
          <w:szCs w:val="24"/>
        </w:rPr>
        <w:t>canine and his handler).</w:t>
      </w:r>
      <w:r w:rsidR="004D04E3">
        <w:rPr>
          <w:rFonts w:cs="Times New Roman"/>
          <w:szCs w:val="24"/>
        </w:rPr>
        <w:t xml:space="preserve"> </w:t>
      </w:r>
      <w:r w:rsidR="004D04E3" w:rsidRPr="00F75BFB">
        <w:rPr>
          <w:rFonts w:cs="Times New Roman"/>
          <w:szCs w:val="24"/>
        </w:rPr>
        <w:t xml:space="preserve">An “application of force with an objective intent merely to </w:t>
      </w:r>
      <w:r w:rsidR="004D04E3" w:rsidRPr="00F75BFB">
        <w:rPr>
          <w:rFonts w:cs="Times New Roman"/>
          <w:i/>
          <w:iCs/>
          <w:szCs w:val="24"/>
        </w:rPr>
        <w:t>disperse or exclude</w:t>
      </w:r>
      <w:r w:rsidR="004D04E3" w:rsidRPr="00F75BFB">
        <w:rPr>
          <w:rFonts w:cs="Times New Roman"/>
          <w:szCs w:val="24"/>
        </w:rPr>
        <w:t xml:space="preserve"> persons from an area—and without any measures objectively aimed at detaining or confining them in the process—does not involve the necessary ‘intent to restrain’ that might give rise to a ‘seizure.’” </w:t>
      </w:r>
      <w:r w:rsidR="004D04E3" w:rsidRPr="00F75BFB">
        <w:rPr>
          <w:rFonts w:cs="Times New Roman"/>
          <w:i/>
          <w:iCs/>
          <w:szCs w:val="24"/>
        </w:rPr>
        <w:t>Puente v City of Phoenix</w:t>
      </w:r>
      <w:r w:rsidR="004D04E3" w:rsidRPr="00F75BFB">
        <w:rPr>
          <w:rFonts w:cs="Times New Roman"/>
          <w:szCs w:val="24"/>
        </w:rPr>
        <w:t>, 123 F.4th 1035, 1052 (9th Cir. 2024) (emphasis in original) (holding that the use of chemical irritants to disperse a crowd did not constitute a seizure because there was no basis in the record for concluding that it was undertaken with the necessary objective intent to restrain).</w:t>
      </w:r>
      <w:r w:rsidR="004D04E3" w:rsidRPr="004D04E3">
        <w:rPr>
          <w:rFonts w:cs="Times New Roman"/>
          <w:szCs w:val="24"/>
        </w:rPr>
        <w:t xml:space="preserve">  </w:t>
      </w:r>
    </w:p>
    <w:p w14:paraId="6402F860" w14:textId="77777777" w:rsidR="00610EC8" w:rsidRPr="004913BA" w:rsidRDefault="00610EC8" w:rsidP="00610EC8">
      <w:pPr>
        <w:autoSpaceDE w:val="0"/>
        <w:autoSpaceDN w:val="0"/>
        <w:adjustRightInd w:val="0"/>
      </w:pPr>
    </w:p>
    <w:p w14:paraId="60FF547D" w14:textId="77777777" w:rsidR="00610EC8" w:rsidRPr="004913BA" w:rsidRDefault="00610EC8" w:rsidP="00610EC8">
      <w:pPr>
        <w:autoSpaceDE w:val="0"/>
        <w:autoSpaceDN w:val="0"/>
        <w:adjustRightInd w:val="0"/>
        <w:rPr>
          <w:i/>
        </w:rPr>
      </w:pPr>
      <w:r w:rsidRPr="004913BA">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4913BA">
        <w:rPr>
          <w:i/>
        </w:rPr>
        <w:t>United States v. Brown</w:t>
      </w:r>
      <w:r w:rsidRPr="004913BA">
        <w:t xml:space="preserve">, 563 F.3d 410, 415 (9th Cir. 2009) (quoting </w:t>
      </w:r>
      <w:r w:rsidRPr="004913BA">
        <w:rPr>
          <w:i/>
        </w:rPr>
        <w:t>United States</w:t>
      </w:r>
    </w:p>
    <w:p w14:paraId="3E59228A" w14:textId="77777777" w:rsidR="00610EC8" w:rsidRPr="004913BA" w:rsidRDefault="00610EC8" w:rsidP="00610EC8">
      <w:pPr>
        <w:autoSpaceDE w:val="0"/>
        <w:autoSpaceDN w:val="0"/>
        <w:adjustRightInd w:val="0"/>
      </w:pPr>
      <w:r w:rsidRPr="004913BA">
        <w:rPr>
          <w:i/>
        </w:rPr>
        <w:t>v. Washington</w:t>
      </w:r>
      <w:r w:rsidRPr="004913BA">
        <w:t xml:space="preserve">, 387 F.3d 1060, 1068 (9th Cir. 2004)). In </w:t>
      </w:r>
      <w:r w:rsidRPr="004913BA">
        <w:rPr>
          <w:i/>
        </w:rPr>
        <w:t>Morgan v. Woessner</w:t>
      </w:r>
      <w:r w:rsidRPr="004913BA">
        <w:t>, 997 F.2d 1244 (9th Cir. 1993), the Ninth Circuit explained that “stops” under the Fourth Amendment fall into three categories:</w:t>
      </w:r>
    </w:p>
    <w:p w14:paraId="7C8EEDE2" w14:textId="77777777" w:rsidR="00610EC8" w:rsidRPr="004913BA" w:rsidRDefault="00610EC8" w:rsidP="00610EC8">
      <w:pPr>
        <w:autoSpaceDE w:val="0"/>
        <w:autoSpaceDN w:val="0"/>
        <w:adjustRightInd w:val="0"/>
      </w:pPr>
    </w:p>
    <w:p w14:paraId="1248EA92" w14:textId="77777777" w:rsidR="00610EC8" w:rsidRPr="004913BA" w:rsidRDefault="00610EC8" w:rsidP="00610EC8">
      <w:pPr>
        <w:autoSpaceDE w:val="0"/>
        <w:autoSpaceDN w:val="0"/>
        <w:adjustRightInd w:val="0"/>
        <w:ind w:left="720" w:right="720"/>
        <w:jc w:val="both"/>
      </w:pPr>
      <w:r w:rsidRPr="004913BA">
        <w:t xml:space="preserve">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w:t>
      </w:r>
      <w:r w:rsidRPr="004913BA">
        <w:lastRenderedPageBreak/>
        <w:t>be supported by “reasonable suspicion.” Finally, police stops may be full-scale arrests. These stops, of course, are seizures, and must be supported by probable cause.</w:t>
      </w:r>
    </w:p>
    <w:p w14:paraId="125B9312" w14:textId="77777777" w:rsidR="00610EC8" w:rsidRPr="004913BA" w:rsidRDefault="00610EC8" w:rsidP="00610EC8">
      <w:pPr>
        <w:autoSpaceDE w:val="0"/>
        <w:autoSpaceDN w:val="0"/>
        <w:adjustRightInd w:val="0"/>
        <w:ind w:right="720"/>
      </w:pPr>
    </w:p>
    <w:p w14:paraId="5E25DD93" w14:textId="77777777" w:rsidR="00610EC8" w:rsidRPr="004913BA" w:rsidRDefault="00610EC8" w:rsidP="00610EC8">
      <w:pPr>
        <w:autoSpaceDE w:val="0"/>
        <w:autoSpaceDN w:val="0"/>
        <w:adjustRightInd w:val="0"/>
      </w:pPr>
      <w:r w:rsidRPr="004913BA">
        <w:rPr>
          <w:i/>
        </w:rPr>
        <w:t>Id.</w:t>
      </w:r>
      <w:r w:rsidRPr="004913BA">
        <w:t xml:space="preserve"> at 1252 (citations omitted).</w:t>
      </w:r>
    </w:p>
    <w:p w14:paraId="6DB2278B" w14:textId="77777777" w:rsidR="00610EC8" w:rsidRPr="004913BA" w:rsidRDefault="00610EC8" w:rsidP="00610EC8">
      <w:pPr>
        <w:autoSpaceDE w:val="0"/>
        <w:autoSpaceDN w:val="0"/>
        <w:adjustRightInd w:val="0"/>
      </w:pPr>
    </w:p>
    <w:p w14:paraId="66A3E2D9" w14:textId="77777777" w:rsidR="00610EC8" w:rsidRPr="004913BA" w:rsidRDefault="00610EC8" w:rsidP="00610EC8">
      <w:pPr>
        <w:autoSpaceDE w:val="0"/>
        <w:autoSpaceDN w:val="0"/>
        <w:adjustRightInd w:val="0"/>
      </w:pPr>
      <w:r w:rsidRPr="004913BA">
        <w:tab/>
        <w:t xml:space="preserve">Section 1983 “contains no state-of-mind requirement independent of that necessary to state a violation of the underlying constitutional right.” </w:t>
      </w:r>
      <w:r w:rsidRPr="004913BA">
        <w:rPr>
          <w:i/>
        </w:rPr>
        <w:t>OSU Student All. v. Ray</w:t>
      </w:r>
      <w:r w:rsidRPr="004913BA">
        <w:t xml:space="preserve">, 699 F.3d 1053, 1071-72 (9th Cir. 2012) (citing </w:t>
      </w:r>
      <w:r w:rsidRPr="004913BA">
        <w:rPr>
          <w:i/>
        </w:rPr>
        <w:t>Daniels v. Williams</w:t>
      </w:r>
      <w:r w:rsidRPr="004913BA">
        <w:t xml:space="preserve">, 474 U.S. 327, 328 (1986)). It is well settled that “negligent acts do not incur constitutional liability.” </w:t>
      </w:r>
      <w:r w:rsidRPr="004913BA">
        <w:rPr>
          <w:i/>
        </w:rPr>
        <w:t>Billington v. Smith</w:t>
      </w:r>
      <w:r w:rsidRPr="004913BA">
        <w:t xml:space="preserve">, 292 F.3d 1177, 1190 (9th Cir. 2002), </w:t>
      </w:r>
      <w:r w:rsidRPr="004913BA">
        <w:rPr>
          <w:i/>
        </w:rPr>
        <w:t>abrogated on other grounds by County of Los Angeles v. Mendez</w:t>
      </w:r>
      <w:r w:rsidRPr="004913BA">
        <w:t xml:space="preserve">, 581 U.S. 420 (2017). Specific intent to violate a person’s rights “is not a prerequisite to liability under § 1983.” </w:t>
      </w:r>
      <w:r w:rsidRPr="004913BA">
        <w:rPr>
          <w:i/>
        </w:rPr>
        <w:t>Caballero v. City of Concord</w:t>
      </w:r>
      <w:r w:rsidRPr="004913BA">
        <w:t xml:space="preserve">, 956 F.2d 204, 206 (9th Cir. 1992) (holding the district court erred in instructing the jury that, in order to prevail on his § 1983 claim for false arrest, the plaintiff was required to show that the defendant specifically intended to deprive him of his constitutional rights). </w:t>
      </w:r>
    </w:p>
    <w:p w14:paraId="384299A4" w14:textId="77777777" w:rsidR="00610EC8" w:rsidRPr="004913BA" w:rsidRDefault="00610EC8" w:rsidP="00610EC8">
      <w:pPr>
        <w:autoSpaceDE w:val="0"/>
        <w:autoSpaceDN w:val="0"/>
        <w:adjustRightInd w:val="0"/>
      </w:pPr>
    </w:p>
    <w:p w14:paraId="6E0CF740" w14:textId="77777777" w:rsidR="00610EC8" w:rsidRPr="004913BA" w:rsidRDefault="00610EC8" w:rsidP="00610EC8">
      <w:pPr>
        <w:spacing w:line="247" w:lineRule="auto"/>
        <w:ind w:left="100" w:right="206" w:firstLine="720"/>
      </w:pPr>
      <w:r w:rsidRPr="004913BA">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903 F.3d 943, 949 (9th Cir. 2018) (affirming summary judgment in favor of</w:t>
      </w:r>
      <w:r w:rsidRPr="006A4CD7">
        <w:rPr>
          <w:rFonts w:cs="Times New Roman"/>
          <w:szCs w:val="24"/>
        </w:rPr>
        <w:t xml:space="preserve"> </w:t>
      </w:r>
      <w:r>
        <w:rPr>
          <w:rFonts w:cs="Times New Roman"/>
          <w:szCs w:val="24"/>
        </w:rPr>
        <w:t>the</w:t>
      </w:r>
      <w:r w:rsidRPr="004913BA">
        <w:t xml:space="preserve"> plaintiff middle school students unreasonably arrested without probable cause). A Fourth Amendment seizure of a bystander can occur when officers intentionally use force that injures the bystander. </w:t>
      </w:r>
      <w:r w:rsidRPr="004913BA">
        <w:rPr>
          <w:i/>
        </w:rPr>
        <w:t>Villanueva v. California</w:t>
      </w:r>
      <w:r w:rsidRPr="004913BA">
        <w:t xml:space="preserve">, 986 F.3d 1158, 1168 (9th Cir. 2021) (citing </w:t>
      </w:r>
      <w:r w:rsidRPr="004913BA">
        <w:rPr>
          <w:i/>
        </w:rPr>
        <w:t>Nelson v. City of Davis</w:t>
      </w:r>
      <w:r w:rsidRPr="004913BA">
        <w:t>, 685 F.3d 867, 876 (9th Cir. 2012)).</w:t>
      </w:r>
    </w:p>
    <w:p w14:paraId="027647D1" w14:textId="77777777" w:rsidR="00610EC8" w:rsidRPr="004913BA" w:rsidRDefault="00610EC8" w:rsidP="00610EC8">
      <w:pPr>
        <w:autoSpaceDE w:val="0"/>
        <w:autoSpaceDN w:val="0"/>
        <w:adjustRightInd w:val="0"/>
      </w:pPr>
    </w:p>
    <w:p w14:paraId="0EADD041" w14:textId="77777777" w:rsidR="00610EC8" w:rsidRPr="004913BA" w:rsidRDefault="00610EC8" w:rsidP="00610EC8">
      <w:pPr>
        <w:autoSpaceDE w:val="0"/>
        <w:autoSpaceDN w:val="0"/>
        <w:adjustRightInd w:val="0"/>
        <w:ind w:firstLine="720"/>
      </w:pPr>
      <w:r w:rsidRPr="004913BA">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4913BA">
        <w:rPr>
          <w:i/>
        </w:rPr>
        <w:t>See, e.g., Kirkpatrick v. County of Washoe</w:t>
      </w:r>
      <w:r w:rsidRPr="004913BA">
        <w:t>, 843 F.3d 784, 790-91 (9th Cir. 2016) (</w:t>
      </w:r>
      <w:proofErr w:type="spellStart"/>
      <w:r w:rsidRPr="004913BA">
        <w:t>en</w:t>
      </w:r>
      <w:proofErr w:type="spellEnd"/>
      <w:r w:rsidRPr="004913BA">
        <w:t xml:space="preserve"> banc) (holding that government official may take child away from parents’ home without judicial authorization only “when officials have reasonable cause to believe that the child is likely to experience serious bodily harm in the time that would be required to obtain a warrant”); </w:t>
      </w:r>
      <w:r w:rsidRPr="004913BA">
        <w:rPr>
          <w:i/>
        </w:rPr>
        <w:t>see also Demaree v. Pederson</w:t>
      </w:r>
      <w:r w:rsidRPr="004913BA">
        <w:t xml:space="preserve">, 887 F.3d 870, 878 (9th Cir. 2018) (“There are narrow circumstances in which the government may constitutionally remove children from their families temporarily without judicial authorization.”); </w:t>
      </w:r>
      <w:r w:rsidRPr="004913BA">
        <w:rPr>
          <w:i/>
        </w:rPr>
        <w:t>Rogers v. County of San Joaquin</w:t>
      </w:r>
      <w:r w:rsidRPr="004913BA">
        <w:t>, 487 F.3d 1288, 1294 (9th Cir. 2007) (stating</w:t>
      </w:r>
      <w:r>
        <w:rPr>
          <w:rFonts w:cs="Times New Roman"/>
          <w:szCs w:val="24"/>
        </w:rPr>
        <w:t xml:space="preserve"> the</w:t>
      </w:r>
      <w:r w:rsidRPr="004913BA">
        <w:t xml:space="preserve"> facts did not support an imminent risk of serious bodily harm, and therefore, a warrant was required). </w:t>
      </w:r>
    </w:p>
    <w:p w14:paraId="3D1B115A" w14:textId="77777777" w:rsidR="00610EC8" w:rsidRPr="004913BA" w:rsidRDefault="00610EC8" w:rsidP="00610EC8">
      <w:pPr>
        <w:autoSpaceDE w:val="0"/>
        <w:autoSpaceDN w:val="0"/>
        <w:adjustRightInd w:val="0"/>
        <w:ind w:firstLine="720"/>
      </w:pPr>
    </w:p>
    <w:p w14:paraId="52757BF7" w14:textId="77777777" w:rsidR="00610EC8" w:rsidRPr="004913BA" w:rsidRDefault="00610EC8" w:rsidP="00610EC8">
      <w:pPr>
        <w:autoSpaceDE w:val="0"/>
        <w:autoSpaceDN w:val="0"/>
        <w:adjustRightInd w:val="0"/>
        <w:ind w:firstLine="720"/>
      </w:pPr>
      <w:r w:rsidRPr="004913BA">
        <w:t xml:space="preserve">A parent may also be able to assert a Fourteenth Amendment claim in such circumstances for interference with the parent–child relationship. </w:t>
      </w:r>
      <w:r w:rsidRPr="004913BA">
        <w:rPr>
          <w:i/>
        </w:rPr>
        <w:t>See</w:t>
      </w:r>
      <w:r w:rsidRPr="004913BA">
        <w:t xml:space="preserve"> Instruction 9.32 (Particular Rights—Fourteenth Amendment—Due Process—Interference with Parent/Child Relationship).</w:t>
      </w:r>
    </w:p>
    <w:p w14:paraId="00219D82" w14:textId="77777777" w:rsidR="00610EC8" w:rsidRPr="004913BA" w:rsidRDefault="00610EC8" w:rsidP="00610EC8">
      <w:pPr>
        <w:autoSpaceDE w:val="0"/>
        <w:autoSpaceDN w:val="0"/>
        <w:adjustRightInd w:val="0"/>
      </w:pPr>
    </w:p>
    <w:p w14:paraId="3A30D53F" w14:textId="77777777" w:rsidR="00C67100" w:rsidRDefault="00610EC8" w:rsidP="00C67100">
      <w:pPr>
        <w:autoSpaceDE w:val="0"/>
        <w:autoSpaceDN w:val="0"/>
        <w:adjustRightInd w:val="0"/>
        <w:ind w:firstLine="720"/>
      </w:pPr>
      <w:r w:rsidRPr="004913BA">
        <w:t xml:space="preserve">If the court is able to determine as a matter of law that the plaintiff was seized, the Committee recommends the court instruct the jury accordingly and omit the portions of this instruction that define a </w:t>
      </w:r>
      <w:proofErr w:type="spellStart"/>
      <w:r w:rsidRPr="004913BA">
        <w:t>seizure.</w:t>
      </w:r>
      <w:proofErr w:type="spellEnd"/>
    </w:p>
    <w:p w14:paraId="2D4FC971" w14:textId="53D55529" w:rsidR="00B03D36" w:rsidRPr="00610EC8" w:rsidRDefault="00610EC8" w:rsidP="00C67100">
      <w:pPr>
        <w:autoSpaceDE w:val="0"/>
        <w:autoSpaceDN w:val="0"/>
        <w:adjustRightInd w:val="0"/>
        <w:ind w:firstLine="720"/>
        <w:jc w:val="right"/>
      </w:pPr>
      <w:r w:rsidRPr="00AE413F">
        <w:rPr>
          <w:rFonts w:cs="Times New Roman"/>
          <w:i/>
          <w:iCs/>
          <w:szCs w:val="24"/>
        </w:rPr>
        <w:lastRenderedPageBreak/>
        <w:t xml:space="preserve">Revised </w:t>
      </w:r>
      <w:r w:rsidR="00625770">
        <w:rPr>
          <w:rFonts w:cs="Times New Roman"/>
          <w:i/>
          <w:iCs/>
          <w:szCs w:val="24"/>
        </w:rPr>
        <w:t xml:space="preserve">June </w:t>
      </w:r>
      <w:r w:rsidR="004D04E3">
        <w:rPr>
          <w:rFonts w:cs="Times New Roman"/>
          <w:i/>
          <w:iCs/>
          <w:szCs w:val="24"/>
        </w:rPr>
        <w:t>2025</w:t>
      </w:r>
    </w:p>
    <w:sectPr w:rsidR="00B03D36" w:rsidRPr="00610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B2DC0"/>
    <w:rsid w:val="002F5CD2"/>
    <w:rsid w:val="004548C3"/>
    <w:rsid w:val="004922F2"/>
    <w:rsid w:val="004D04E3"/>
    <w:rsid w:val="00610EC8"/>
    <w:rsid w:val="00625770"/>
    <w:rsid w:val="0066753D"/>
    <w:rsid w:val="00922469"/>
    <w:rsid w:val="00B03D36"/>
    <w:rsid w:val="00B96321"/>
    <w:rsid w:val="00BE0F07"/>
    <w:rsid w:val="00C67100"/>
    <w:rsid w:val="00C729CC"/>
    <w:rsid w:val="00DA6AD6"/>
    <w:rsid w:val="00DC5CFB"/>
    <w:rsid w:val="00E55E4B"/>
    <w:rsid w:val="00E57108"/>
    <w:rsid w:val="00F2425A"/>
    <w:rsid w:val="00F7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DC5C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5C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5CF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C5CF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C5CF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C5CF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C5CF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C5CF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4D04E3"/>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1967</Words>
  <Characters>11217</Characters>
  <Application>Microsoft Office Word</Application>
  <DocSecurity>0</DocSecurity>
  <Lines>93</Lines>
  <Paragraphs>26</Paragraphs>
  <ScaleCrop>false</ScaleCrop>
  <Company>United States Courts</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10</cp:revision>
  <dcterms:created xsi:type="dcterms:W3CDTF">2025-01-08T00:15:00Z</dcterms:created>
  <dcterms:modified xsi:type="dcterms:W3CDTF">2025-10-14T21:43:00Z</dcterms:modified>
</cp:coreProperties>
</file>