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3B93" w14:textId="77777777" w:rsidR="00196A38" w:rsidRPr="00842D3D" w:rsidRDefault="00196A38" w:rsidP="00196A38">
      <w:pPr>
        <w:autoSpaceDE w:val="0"/>
        <w:autoSpaceDN w:val="0"/>
        <w:adjustRightInd w:val="0"/>
        <w:jc w:val="center"/>
        <w:outlineLvl w:val="1"/>
        <w:rPr>
          <w:rFonts w:eastAsia="Calibri" w:cs="Times New Roman"/>
          <w:b/>
          <w:bCs/>
          <w:szCs w:val="24"/>
        </w:rPr>
      </w:pPr>
      <w:bookmarkStart w:id="0" w:name="_Toc214452532"/>
      <w:r w:rsidRPr="00842D3D">
        <w:rPr>
          <w:rFonts w:eastAsia="Calibri" w:cs="Times New Roman"/>
          <w:b/>
          <w:bCs/>
          <w:szCs w:val="24"/>
        </w:rPr>
        <w:t>9.</w:t>
      </w:r>
      <w:r>
        <w:rPr>
          <w:rFonts w:eastAsia="Calibri" w:cs="Times New Roman"/>
          <w:b/>
          <w:bCs/>
          <w:szCs w:val="24"/>
        </w:rPr>
        <w:t>21</w:t>
      </w:r>
      <w:r w:rsidRPr="00842D3D">
        <w:rPr>
          <w:rFonts w:eastAsia="Calibri" w:cs="Times New Roman"/>
          <w:b/>
          <w:bCs/>
          <w:szCs w:val="24"/>
        </w:rPr>
        <w:t xml:space="preserve"> Particular Rights—Fourth Amendment—Unreasonable Seizure of Property—Exceptions to Warrant Requirement</w:t>
      </w:r>
      <w:bookmarkEnd w:id="0"/>
    </w:p>
    <w:p w14:paraId="046E5B69" w14:textId="77777777" w:rsidR="00196A38" w:rsidRPr="00842D3D" w:rsidRDefault="00196A38" w:rsidP="00196A38">
      <w:pPr>
        <w:autoSpaceDE w:val="0"/>
        <w:autoSpaceDN w:val="0"/>
        <w:adjustRightInd w:val="0"/>
        <w:rPr>
          <w:rFonts w:eastAsia="Calibri" w:cs="Times New Roman"/>
          <w:szCs w:val="24"/>
        </w:rPr>
      </w:pPr>
    </w:p>
    <w:p w14:paraId="18B578EE"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842D3D">
        <w:rPr>
          <w:rFonts w:eastAsia="Calibri" w:cs="Times New Roman"/>
          <w:i/>
          <w:szCs w:val="24"/>
          <w:u w:val="single"/>
        </w:rPr>
        <w:t>set forth applicable exception to warrant requirement</w:t>
      </w:r>
      <w:r w:rsidRPr="00842D3D">
        <w:rPr>
          <w:rFonts w:eastAsia="Calibri" w:cs="Times New Roman"/>
          <w:szCs w:val="24"/>
        </w:rPr>
        <w:t>]. Therefore, 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by a preponderance of the evidence that this exception does not apply. </w:t>
      </w:r>
    </w:p>
    <w:p w14:paraId="04ECF544" w14:textId="77777777" w:rsidR="00196A38" w:rsidRPr="00842D3D" w:rsidRDefault="00196A38" w:rsidP="00196A38">
      <w:pPr>
        <w:autoSpaceDE w:val="0"/>
        <w:autoSpaceDN w:val="0"/>
        <w:adjustRightInd w:val="0"/>
        <w:rPr>
          <w:rFonts w:eastAsia="Calibri" w:cs="Times New Roman"/>
          <w:szCs w:val="24"/>
        </w:rPr>
      </w:pPr>
    </w:p>
    <w:p w14:paraId="1189EB07" w14:textId="77777777" w:rsidR="00196A38" w:rsidRPr="00842D3D" w:rsidRDefault="00196A38" w:rsidP="00196A38">
      <w:pPr>
        <w:autoSpaceDE w:val="0"/>
        <w:autoSpaceDN w:val="0"/>
        <w:adjustRightInd w:val="0"/>
        <w:jc w:val="center"/>
        <w:rPr>
          <w:rFonts w:eastAsia="Calibri" w:cs="Times New Roman"/>
          <w:b/>
          <w:szCs w:val="24"/>
        </w:rPr>
      </w:pPr>
      <w:r w:rsidRPr="00842D3D">
        <w:rPr>
          <w:rFonts w:eastAsia="Calibri" w:cs="Times New Roman"/>
          <w:b/>
          <w:szCs w:val="24"/>
        </w:rPr>
        <w:t>Comment</w:t>
      </w:r>
    </w:p>
    <w:p w14:paraId="730A1D4B" w14:textId="77777777" w:rsidR="00196A38" w:rsidRPr="00842D3D" w:rsidRDefault="00196A38" w:rsidP="00196A38">
      <w:pPr>
        <w:autoSpaceDE w:val="0"/>
        <w:autoSpaceDN w:val="0"/>
        <w:adjustRightInd w:val="0"/>
        <w:rPr>
          <w:rFonts w:eastAsia="Calibri" w:cs="Times New Roman"/>
          <w:b/>
          <w:szCs w:val="24"/>
        </w:rPr>
      </w:pPr>
    </w:p>
    <w:p w14:paraId="6612B776" w14:textId="77777777" w:rsidR="00196A38" w:rsidRPr="00842D3D" w:rsidRDefault="00196A38" w:rsidP="00196A38">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r>
        <w:rPr>
          <w:rFonts w:eastAsia="Calibri" w:cs="Times New Roman"/>
          <w:szCs w:val="24"/>
        </w:rPr>
        <w:t>20</w:t>
      </w:r>
      <w:r w:rsidRPr="00842D3D">
        <w:rPr>
          <w:rFonts w:eastAsia="Calibri" w:cs="Times New Roman"/>
          <w:szCs w:val="24"/>
        </w:rPr>
        <w:t xml:space="preserve"> (Particular Rights—Fourth Amendment—Unreasonable Seizure of Property—Generally).</w:t>
      </w:r>
    </w:p>
    <w:p w14:paraId="77151563" w14:textId="77777777" w:rsidR="00196A38" w:rsidRPr="00842D3D" w:rsidRDefault="00196A38" w:rsidP="00196A38">
      <w:pPr>
        <w:autoSpaceDE w:val="0"/>
        <w:autoSpaceDN w:val="0"/>
        <w:adjustRightInd w:val="0"/>
        <w:rPr>
          <w:rFonts w:eastAsia="Calibri" w:cs="Times New Roman"/>
          <w:b/>
          <w:szCs w:val="24"/>
        </w:rPr>
      </w:pPr>
    </w:p>
    <w:p w14:paraId="7EE269E7"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842D3D">
        <w:rPr>
          <w:rFonts w:eastAsia="Calibri" w:cs="Times New Roman"/>
          <w:i/>
          <w:szCs w:val="24"/>
        </w:rPr>
        <w:t>Menotti v. City of Seattle</w:t>
      </w:r>
      <w:r w:rsidRPr="00842D3D">
        <w:rPr>
          <w:rFonts w:eastAsia="Calibri" w:cs="Times New Roman"/>
          <w:szCs w:val="24"/>
        </w:rPr>
        <w:t xml:space="preserve">, 409 F.3d 1113, 1154 (9th Cir. 2005) (quoting </w:t>
      </w:r>
      <w:r w:rsidRPr="00842D3D">
        <w:rPr>
          <w:rFonts w:eastAsia="Calibri" w:cs="Times New Roman"/>
          <w:i/>
          <w:szCs w:val="24"/>
        </w:rPr>
        <w:t>Illinois v. McArthur</w:t>
      </w:r>
      <w:r w:rsidRPr="00842D3D">
        <w:rPr>
          <w:rFonts w:eastAsia="Calibri" w:cs="Times New Roman"/>
          <w:szCs w:val="24"/>
        </w:rPr>
        <w:t xml:space="preserve">, 531 U.S. 326, 330-31 (2001)). </w:t>
      </w:r>
    </w:p>
    <w:p w14:paraId="4F05B555" w14:textId="77777777" w:rsidR="00196A38" w:rsidRPr="00842D3D" w:rsidRDefault="00196A38" w:rsidP="00196A38">
      <w:pPr>
        <w:autoSpaceDE w:val="0"/>
        <w:autoSpaceDN w:val="0"/>
        <w:adjustRightInd w:val="0"/>
        <w:rPr>
          <w:rFonts w:eastAsia="Calibri" w:cs="Times New Roman"/>
          <w:szCs w:val="24"/>
        </w:rPr>
      </w:pPr>
    </w:p>
    <w:p w14:paraId="290A65CE"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0EF06735" w14:textId="77777777" w:rsidR="00196A38" w:rsidRPr="00842D3D" w:rsidRDefault="00196A38" w:rsidP="00196A38">
      <w:pPr>
        <w:autoSpaceDE w:val="0"/>
        <w:autoSpaceDN w:val="0"/>
        <w:adjustRightInd w:val="0"/>
        <w:rPr>
          <w:rFonts w:eastAsia="Calibri" w:cs="Times New Roman"/>
          <w:szCs w:val="24"/>
        </w:rPr>
      </w:pPr>
    </w:p>
    <w:p w14:paraId="37B407CA"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(1) </w:t>
      </w:r>
      <w:r w:rsidRPr="00842D3D">
        <w:rPr>
          <w:rFonts w:eastAsia="Calibri" w:cs="Times New Roman"/>
          <w:i/>
          <w:szCs w:val="24"/>
        </w:rPr>
        <w:t>Menotti</w:t>
      </w:r>
      <w:r w:rsidRPr="00842D3D">
        <w:rPr>
          <w:rFonts w:eastAsia="Calibri" w:cs="Times New Roman"/>
          <w:szCs w:val="24"/>
        </w:rPr>
        <w:t xml:space="preserve">, 409 F.3d at 1152 n.72 (collecting case citations authorizing warrantless seizures of property in the context of administrative searches, searches incident to arrest, automobile checkpoint searches, and </w:t>
      </w:r>
      <w:r w:rsidRPr="00842D3D">
        <w:rPr>
          <w:rFonts w:eastAsia="Calibri" w:cs="Times New Roman"/>
          <w:i/>
          <w:szCs w:val="24"/>
        </w:rPr>
        <w:t>Terry v. Ohio</w:t>
      </w:r>
      <w:r w:rsidRPr="00842D3D">
        <w:rPr>
          <w:rFonts w:eastAsia="Calibri" w:cs="Times New Roman"/>
          <w:szCs w:val="24"/>
        </w:rPr>
        <w:t>, 392 U.S. 1 (1968)).</w:t>
      </w:r>
    </w:p>
    <w:p w14:paraId="109B9851" w14:textId="77777777" w:rsidR="00196A38" w:rsidRPr="00842D3D" w:rsidRDefault="00196A38" w:rsidP="00196A38">
      <w:pPr>
        <w:autoSpaceDE w:val="0"/>
        <w:autoSpaceDN w:val="0"/>
        <w:adjustRightInd w:val="0"/>
        <w:rPr>
          <w:rFonts w:eastAsia="Calibri" w:cs="Times New Roman"/>
          <w:szCs w:val="24"/>
        </w:rPr>
      </w:pPr>
    </w:p>
    <w:p w14:paraId="3C2F1D4A"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(2) </w:t>
      </w:r>
      <w:r w:rsidRPr="00842D3D">
        <w:rPr>
          <w:rFonts w:eastAsia="Calibri" w:cs="Times New Roman"/>
          <w:i/>
          <w:szCs w:val="24"/>
        </w:rPr>
        <w:t>Lavan v. City of Los Angeles</w:t>
      </w:r>
      <w:r w:rsidRPr="00842D3D">
        <w:rPr>
          <w:rFonts w:eastAsia="Calibri" w:cs="Times New Roman"/>
          <w:szCs w:val="24"/>
        </w:rPr>
        <w:t xml:space="preserve">, 693 F.3d 1022, 1030-31 (9th Cir. 2012) (concluding that the warrantless seizure of a homeless person’s abandoned property was properly subjected to Fourth Amendment’s reasonableness requirement); </w:t>
      </w:r>
      <w:r w:rsidRPr="00842D3D">
        <w:rPr>
          <w:rFonts w:eastAsia="Calibri" w:cs="Times New Roman"/>
          <w:i/>
          <w:szCs w:val="24"/>
        </w:rPr>
        <w:t>see also Garcia v. City of Los Angeles</w:t>
      </w:r>
      <w:r w:rsidRPr="00842D3D">
        <w:rPr>
          <w:rFonts w:eastAsia="Calibri"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76836CC2" w14:textId="77777777" w:rsidR="00196A38" w:rsidRPr="00842D3D" w:rsidRDefault="00196A38" w:rsidP="00196A38">
      <w:pPr>
        <w:autoSpaceDE w:val="0"/>
        <w:autoSpaceDN w:val="0"/>
        <w:adjustRightInd w:val="0"/>
        <w:rPr>
          <w:rFonts w:eastAsia="Calibri" w:cs="Times New Roman"/>
          <w:szCs w:val="24"/>
        </w:rPr>
      </w:pPr>
    </w:p>
    <w:p w14:paraId="2AF03641"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(3) </w:t>
      </w:r>
      <w:r w:rsidRPr="00842D3D">
        <w:rPr>
          <w:rFonts w:eastAsia="Calibri" w:cs="Times New Roman"/>
          <w:i/>
          <w:szCs w:val="24"/>
        </w:rPr>
        <w:t>United States v. Stafford</w:t>
      </w:r>
      <w:r w:rsidRPr="00842D3D">
        <w:rPr>
          <w:rFonts w:eastAsia="Calibri" w:cs="Times New Roman"/>
          <w:szCs w:val="24"/>
        </w:rPr>
        <w:t>, 416 F.3d 1068, 1076 (9th Cir. 2005) (discussing the plain view exception to the warrant requirement).</w:t>
      </w:r>
    </w:p>
    <w:p w14:paraId="5C5E251E" w14:textId="77777777" w:rsidR="00196A38" w:rsidRPr="00842D3D" w:rsidRDefault="00196A38" w:rsidP="00196A38">
      <w:pPr>
        <w:autoSpaceDE w:val="0"/>
        <w:autoSpaceDN w:val="0"/>
        <w:adjustRightInd w:val="0"/>
        <w:rPr>
          <w:rFonts w:eastAsia="Calibri" w:cs="Times New Roman"/>
          <w:szCs w:val="24"/>
        </w:rPr>
      </w:pPr>
    </w:p>
    <w:p w14:paraId="22C2D102"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(4) </w:t>
      </w:r>
      <w:r w:rsidRPr="00842D3D">
        <w:rPr>
          <w:rFonts w:eastAsia="Calibri" w:cs="Times New Roman"/>
          <w:i/>
          <w:szCs w:val="24"/>
        </w:rPr>
        <w:t>Rodriguez v. City of San Jose</w:t>
      </w:r>
      <w:r w:rsidRPr="00842D3D">
        <w:rPr>
          <w:rFonts w:eastAsia="Calibri" w:cs="Times New Roman"/>
          <w:szCs w:val="24"/>
        </w:rPr>
        <w:t>, 930 F.3d 1123, 1140 (9th Cir. 2019) (discussing the emergency exception and “community caretaking function” exception in the context of seizure of firearms from a home when police had probable cause to detain a resident experiencing an acute mental health episode who otherwise would have access to firearms and present a serious public safety threat upon returning home).</w:t>
      </w:r>
    </w:p>
    <w:p w14:paraId="26D8FCCA" w14:textId="77777777" w:rsidR="00196A38" w:rsidRPr="00842D3D" w:rsidRDefault="00196A38" w:rsidP="00196A38">
      <w:pPr>
        <w:autoSpaceDE w:val="0"/>
        <w:autoSpaceDN w:val="0"/>
        <w:adjustRightInd w:val="0"/>
        <w:rPr>
          <w:rFonts w:eastAsia="Calibri" w:cs="Times New Roman"/>
          <w:szCs w:val="24"/>
        </w:rPr>
      </w:pPr>
    </w:p>
    <w:p w14:paraId="6D669AA9"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(5) </w:t>
      </w:r>
      <w:r w:rsidRPr="00842D3D">
        <w:rPr>
          <w:rFonts w:eastAsia="Calibri" w:cs="Times New Roman"/>
          <w:i/>
          <w:szCs w:val="24"/>
        </w:rPr>
        <w:t>Kilgore v. City of South El Monte</w:t>
      </w:r>
      <w:r w:rsidRPr="00842D3D">
        <w:rPr>
          <w:rFonts w:eastAsia="Calibri" w:cs="Times New Roman"/>
          <w:szCs w:val="24"/>
        </w:rPr>
        <w:t xml:space="preserve">, 3 F.4th 1186, 1189-93 (9th Cir. 2021) (discussing warrantless administrative searches for “closely regulated” businesses). </w:t>
      </w:r>
    </w:p>
    <w:p w14:paraId="144837F6" w14:textId="77777777" w:rsidR="00196A38" w:rsidRPr="00842D3D" w:rsidRDefault="00196A38" w:rsidP="00196A38">
      <w:pPr>
        <w:autoSpaceDE w:val="0"/>
        <w:autoSpaceDN w:val="0"/>
        <w:adjustRightInd w:val="0"/>
        <w:rPr>
          <w:rFonts w:eastAsia="Calibri" w:cs="Times New Roman"/>
          <w:szCs w:val="24"/>
        </w:rPr>
      </w:pPr>
    </w:p>
    <w:p w14:paraId="3197A7DE"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(6) </w:t>
      </w:r>
      <w:r w:rsidRPr="00842D3D">
        <w:rPr>
          <w:rFonts w:eastAsia="Calibri" w:cs="Times New Roman"/>
          <w:i/>
          <w:szCs w:val="24"/>
        </w:rPr>
        <w:t>United States v. Anderson</w:t>
      </w:r>
      <w:r w:rsidRPr="00842D3D">
        <w:rPr>
          <w:rFonts w:eastAsia="Calibri" w:cs="Times New Roman"/>
          <w:szCs w:val="24"/>
        </w:rPr>
        <w:t xml:space="preserve">, 101 F.4th 586, 596-97 (9th Cir. 2024) (discussing the scope of the inventory search exception to the warrant requirement). </w:t>
      </w:r>
    </w:p>
    <w:p w14:paraId="220FBEC6" w14:textId="77777777" w:rsidR="00196A38" w:rsidRPr="00842D3D" w:rsidRDefault="00196A38" w:rsidP="00196A38">
      <w:pPr>
        <w:autoSpaceDE w:val="0"/>
        <w:autoSpaceDN w:val="0"/>
        <w:adjustRightInd w:val="0"/>
        <w:rPr>
          <w:rFonts w:eastAsia="Calibri" w:cs="Times New Roman"/>
          <w:szCs w:val="24"/>
        </w:rPr>
      </w:pPr>
    </w:p>
    <w:p w14:paraId="51168493" w14:textId="77777777" w:rsidR="00196A38" w:rsidRDefault="00196A38" w:rsidP="00196A38">
      <w:pPr>
        <w:autoSpaceDE w:val="0"/>
        <w:autoSpaceDN w:val="0"/>
        <w:adjustRightInd w:val="0"/>
        <w:rPr>
          <w:rFonts w:eastAsia="Calibri" w:cs="Times New Roman"/>
          <w:szCs w:val="24"/>
        </w:rPr>
      </w:pPr>
      <w:r w:rsidRPr="00842D3D">
        <w:rPr>
          <w:rFonts w:eastAsia="Calibri" w:cs="Times New Roman"/>
          <w:szCs w:val="24"/>
        </w:rPr>
        <w:tab/>
        <w:t xml:space="preserve">(7) </w:t>
      </w:r>
      <w:r w:rsidRPr="00842D3D">
        <w:rPr>
          <w:rFonts w:eastAsia="Calibri" w:cs="Times New Roman"/>
          <w:i/>
          <w:szCs w:val="24"/>
        </w:rPr>
        <w:t>United States v. Baker</w:t>
      </w:r>
      <w:r w:rsidRPr="00842D3D">
        <w:rPr>
          <w:rFonts w:eastAsia="Calibri" w:cs="Times New Roman"/>
          <w:szCs w:val="24"/>
        </w:rPr>
        <w:t>, 58 F.4th 1109, 1116 (9th Cir. 2023) (“Because warrantless searches or seizures of abandoned property do not violate the [F]</w:t>
      </w:r>
      <w:proofErr w:type="spellStart"/>
      <w:r w:rsidRPr="00842D3D">
        <w:rPr>
          <w:rFonts w:eastAsia="Calibri" w:cs="Times New Roman"/>
          <w:szCs w:val="24"/>
        </w:rPr>
        <w:t>ourth</w:t>
      </w:r>
      <w:proofErr w:type="spellEnd"/>
      <w:r w:rsidRPr="00842D3D">
        <w:rPr>
          <w:rFonts w:eastAsia="Calibri" w:cs="Times New Roman"/>
          <w:szCs w:val="24"/>
        </w:rPr>
        <w:t xml:space="preserve"> [A]</w:t>
      </w:r>
      <w:proofErr w:type="spellStart"/>
      <w:r w:rsidRPr="00842D3D">
        <w:rPr>
          <w:rFonts w:eastAsia="Calibri" w:cs="Times New Roman"/>
          <w:szCs w:val="24"/>
        </w:rPr>
        <w:t>mendment</w:t>
      </w:r>
      <w:proofErr w:type="spellEnd"/>
      <w:r w:rsidRPr="00842D3D">
        <w:rPr>
          <w:rFonts w:eastAsia="Calibri" w:cs="Times New Roman"/>
          <w:szCs w:val="24"/>
        </w:rPr>
        <w:t xml:space="preserve">, persons who voluntarily abandon property lack standing to complain of its search or seizure.”) (quoting </w:t>
      </w:r>
      <w:r w:rsidRPr="00842D3D">
        <w:rPr>
          <w:rFonts w:eastAsia="Calibri" w:cs="Times New Roman"/>
          <w:i/>
          <w:szCs w:val="24"/>
        </w:rPr>
        <w:t>United States v. Nordling</w:t>
      </w:r>
      <w:r w:rsidRPr="00842D3D">
        <w:rPr>
          <w:rFonts w:eastAsia="Calibri" w:cs="Times New Roman"/>
          <w:szCs w:val="24"/>
        </w:rPr>
        <w:t>, 804 F.2d 1466, 1469 (9th Cir. 1986)).</w:t>
      </w:r>
    </w:p>
    <w:p w14:paraId="3A5FF706" w14:textId="77777777" w:rsidR="00196A38" w:rsidRDefault="00196A38" w:rsidP="00196A38">
      <w:pPr>
        <w:autoSpaceDE w:val="0"/>
        <w:autoSpaceDN w:val="0"/>
        <w:adjustRightInd w:val="0"/>
        <w:rPr>
          <w:rFonts w:eastAsia="Calibri" w:cs="Times New Roman"/>
          <w:szCs w:val="24"/>
        </w:rPr>
      </w:pPr>
    </w:p>
    <w:p w14:paraId="67E8E2A7" w14:textId="31483A49" w:rsidR="00196A38" w:rsidRDefault="00196A38" w:rsidP="009D506C">
      <w:pPr>
        <w:autoSpaceDE w:val="0"/>
        <w:autoSpaceDN w:val="0"/>
        <w:adjustRightInd w:val="0"/>
        <w:ind w:firstLine="720"/>
        <w:rPr>
          <w:rFonts w:eastAsia="Calibri" w:cs="Times New Roman"/>
          <w:szCs w:val="24"/>
        </w:rPr>
      </w:pPr>
      <w:r w:rsidRPr="00196A38">
        <w:rPr>
          <w:rFonts w:eastAsia="Calibri" w:cs="Times New Roman"/>
          <w:szCs w:val="24"/>
        </w:rPr>
        <w:t>(8)</w:t>
      </w:r>
      <w:r w:rsidRPr="00196A38">
        <w:rPr>
          <w:rFonts w:eastAsia="Calibri" w:cs="Times New Roman"/>
          <w:szCs w:val="24"/>
        </w:rPr>
        <w:tab/>
      </w:r>
      <w:r w:rsidRPr="009D506C">
        <w:rPr>
          <w:rFonts w:eastAsia="Calibri" w:cs="Times New Roman"/>
          <w:i/>
          <w:iCs/>
          <w:szCs w:val="24"/>
        </w:rPr>
        <w:t>United States v. Hunt</w:t>
      </w:r>
      <w:r w:rsidRPr="00196A38">
        <w:rPr>
          <w:rFonts w:eastAsia="Calibri" w:cs="Times New Roman"/>
          <w:szCs w:val="24"/>
        </w:rPr>
        <w:t>, 153 F.4th 858, 865 (9th Cir. 2025) (holding the “reasonable expectation of privacy framework” requires adapting the abandonment doctrine in light of the “unique characteristics of cell phone data” and concluding “the abandonment doctrine can apply to cellphone data but courts should analyze the physical phone and its data separately to determine whether the circumstances allow the conclusion that there was an intent to abandon either”).</w:t>
      </w:r>
    </w:p>
    <w:p w14:paraId="584E25AF" w14:textId="77777777" w:rsidR="007355C1" w:rsidRPr="00842D3D" w:rsidRDefault="007355C1" w:rsidP="009D506C">
      <w:pPr>
        <w:autoSpaceDE w:val="0"/>
        <w:autoSpaceDN w:val="0"/>
        <w:adjustRightInd w:val="0"/>
        <w:ind w:firstLine="720"/>
        <w:rPr>
          <w:rFonts w:eastAsia="Calibri" w:cs="Times New Roman"/>
          <w:szCs w:val="24"/>
        </w:rPr>
      </w:pPr>
    </w:p>
    <w:p w14:paraId="6C4C060B" w14:textId="3AF0D8C3"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w:t>
      </w:r>
      <w:r>
        <w:rPr>
          <w:rFonts w:eastAsia="Calibri" w:cs="Times New Roman"/>
          <w:szCs w:val="24"/>
        </w:rPr>
        <w:t>9</w:t>
      </w:r>
      <w:r w:rsidRPr="00842D3D">
        <w:rPr>
          <w:rFonts w:eastAsia="Calibri" w:cs="Times New Roman"/>
          <w:szCs w:val="24"/>
        </w:rPr>
        <w:t xml:space="preserve">) </w:t>
      </w:r>
      <w:r w:rsidRPr="00842D3D">
        <w:rPr>
          <w:rFonts w:eastAsia="Calibri" w:cs="Times New Roman"/>
          <w:i/>
          <w:szCs w:val="24"/>
        </w:rPr>
        <w:t>Brewster v. Beck</w:t>
      </w:r>
      <w:r w:rsidRPr="00842D3D">
        <w:rPr>
          <w:rFonts w:eastAsia="Calibri" w:cs="Times New Roman"/>
          <w:szCs w:val="24"/>
        </w:rPr>
        <w:t>, 859 F.3d 1194, 1196-97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3B90CAFC" w14:textId="77777777" w:rsidR="00196A38" w:rsidRPr="00842D3D" w:rsidRDefault="00196A38" w:rsidP="00196A38">
      <w:pPr>
        <w:autoSpaceDE w:val="0"/>
        <w:autoSpaceDN w:val="0"/>
        <w:adjustRightInd w:val="0"/>
        <w:rPr>
          <w:rFonts w:eastAsia="Calibri" w:cs="Times New Roman"/>
          <w:szCs w:val="24"/>
        </w:rPr>
      </w:pPr>
    </w:p>
    <w:p w14:paraId="3CC7EA1B" w14:textId="44B88D4D"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w:t>
      </w:r>
      <w:r>
        <w:rPr>
          <w:rFonts w:eastAsia="Calibri" w:cs="Times New Roman"/>
          <w:szCs w:val="24"/>
        </w:rPr>
        <w:t>10</w:t>
      </w:r>
      <w:r w:rsidRPr="00842D3D">
        <w:rPr>
          <w:rFonts w:eastAsia="Calibri" w:cs="Times New Roman"/>
          <w:szCs w:val="24"/>
        </w:rPr>
        <w:t xml:space="preserve">) </w:t>
      </w:r>
      <w:r w:rsidRPr="00842D3D">
        <w:rPr>
          <w:rFonts w:eastAsia="Calibri" w:cs="Times New Roman"/>
          <w:i/>
          <w:szCs w:val="24"/>
        </w:rPr>
        <w:t>Woodward v. City of Tucson</w:t>
      </w:r>
      <w:r w:rsidRPr="00842D3D">
        <w:rPr>
          <w:rFonts w:eastAsia="Calibri" w:cs="Times New Roman"/>
          <w:szCs w:val="24"/>
        </w:rPr>
        <w:t>, 870 F.3d 1154, 1160 (9th Cir. 2017) (“One who has been formally evicted has no reasonable expectation of privacy in his or her previous residence” and “[b]</w:t>
      </w:r>
      <w:proofErr w:type="spellStart"/>
      <w:r w:rsidRPr="00842D3D">
        <w:rPr>
          <w:rFonts w:eastAsia="Calibri" w:cs="Times New Roman"/>
          <w:szCs w:val="24"/>
        </w:rPr>
        <w:t>ecause</w:t>
      </w:r>
      <w:proofErr w:type="spellEnd"/>
      <w:r w:rsidRPr="00842D3D">
        <w:rPr>
          <w:rFonts w:eastAsia="Calibri" w:cs="Times New Roman"/>
          <w:szCs w:val="24"/>
        </w:rPr>
        <w:t xml:space="preserve"> the undisputed evidence shows that [the former tenant] was aware of her eviction, this case differs from situations where the individuals claiming privacy rights either did not know they had been evicted or claimed that they still had tenancy rights.”).</w:t>
      </w:r>
    </w:p>
    <w:p w14:paraId="5C6CEF5D" w14:textId="77777777" w:rsidR="00196A38" w:rsidRPr="00842D3D" w:rsidRDefault="00196A38" w:rsidP="00196A38">
      <w:pPr>
        <w:autoSpaceDE w:val="0"/>
        <w:autoSpaceDN w:val="0"/>
        <w:adjustRightInd w:val="0"/>
        <w:rPr>
          <w:rFonts w:eastAsia="Calibri" w:cs="Times New Roman"/>
          <w:szCs w:val="24"/>
        </w:rPr>
      </w:pPr>
    </w:p>
    <w:p w14:paraId="5A27AFA8" w14:textId="7711A25A" w:rsidR="00196A38" w:rsidRPr="00842D3D" w:rsidRDefault="00196A38" w:rsidP="00196A38">
      <w:pPr>
        <w:autoSpaceDE w:val="0"/>
        <w:autoSpaceDN w:val="0"/>
        <w:adjustRightInd w:val="0"/>
        <w:ind w:firstLine="720"/>
        <w:rPr>
          <w:rFonts w:eastAsia="Calibri" w:cs="Times New Roman"/>
          <w:szCs w:val="24"/>
        </w:rPr>
      </w:pPr>
      <w:r w:rsidRPr="00842D3D">
        <w:rPr>
          <w:rFonts w:eastAsia="Calibri" w:cs="Times New Roman"/>
          <w:szCs w:val="24"/>
        </w:rPr>
        <w:t>(1</w:t>
      </w:r>
      <w:r>
        <w:rPr>
          <w:rFonts w:eastAsia="Calibri" w:cs="Times New Roman"/>
          <w:szCs w:val="24"/>
        </w:rPr>
        <w:t>1</w:t>
      </w:r>
      <w:r w:rsidRPr="00842D3D">
        <w:rPr>
          <w:rFonts w:eastAsia="Calibri" w:cs="Times New Roman"/>
          <w:szCs w:val="24"/>
        </w:rPr>
        <w:t xml:space="preserve">) </w:t>
      </w:r>
      <w:r w:rsidRPr="00842D3D">
        <w:rPr>
          <w:rFonts w:eastAsia="Calibri" w:cs="Times New Roman"/>
          <w:i/>
          <w:szCs w:val="24"/>
        </w:rPr>
        <w:t>Verdun v. City of San Diego</w:t>
      </w:r>
      <w:r w:rsidRPr="00842D3D">
        <w:rPr>
          <w:rFonts w:eastAsia="Calibri"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3F8A96F3" w14:textId="77777777" w:rsidR="00196A38" w:rsidRPr="00842D3D" w:rsidRDefault="00196A38" w:rsidP="00196A38">
      <w:pPr>
        <w:autoSpaceDE w:val="0"/>
        <w:autoSpaceDN w:val="0"/>
        <w:adjustRightInd w:val="0"/>
        <w:ind w:firstLine="720"/>
        <w:rPr>
          <w:rFonts w:eastAsia="Calibri" w:cs="Times New Roman"/>
          <w:szCs w:val="24"/>
        </w:rPr>
      </w:pPr>
    </w:p>
    <w:p w14:paraId="42CDB6BA" w14:textId="7A8E5FA9" w:rsidR="00196A38" w:rsidRPr="00842D3D" w:rsidRDefault="00196A38" w:rsidP="00196A38">
      <w:pPr>
        <w:autoSpaceDE w:val="0"/>
        <w:autoSpaceDN w:val="0"/>
        <w:adjustRightInd w:val="0"/>
        <w:ind w:firstLine="720"/>
        <w:rPr>
          <w:rFonts w:eastAsia="Calibri" w:cs="Times New Roman"/>
        </w:rPr>
      </w:pPr>
      <w:r w:rsidRPr="00842D3D">
        <w:rPr>
          <w:rFonts w:eastAsia="Calibri" w:cs="Times New Roman"/>
        </w:rPr>
        <w:t>(1</w:t>
      </w:r>
      <w:r>
        <w:rPr>
          <w:rFonts w:eastAsia="Calibri" w:cs="Times New Roman"/>
        </w:rPr>
        <w:t>2</w:t>
      </w:r>
      <w:r w:rsidRPr="00842D3D">
        <w:rPr>
          <w:rFonts w:eastAsia="Calibri" w:cs="Times New Roman"/>
        </w:rPr>
        <w:t xml:space="preserve">) </w:t>
      </w:r>
      <w:r w:rsidRPr="00842D3D">
        <w:rPr>
          <w:rFonts w:eastAsia="Calibri" w:cs="Times New Roman"/>
          <w:i/>
          <w:iCs/>
        </w:rPr>
        <w:t>United States v. Steinman</w:t>
      </w:r>
      <w:r w:rsidRPr="00842D3D">
        <w:rPr>
          <w:rFonts w:eastAsia="Calibri" w:cs="Times New Roman"/>
        </w:rPr>
        <w:t xml:space="preserve">, 130 F.4th 693, 711-17 (9th Cir. 2025) (discussing </w:t>
      </w:r>
      <w:proofErr w:type="spellStart"/>
      <w:r w:rsidRPr="00842D3D">
        <w:rPr>
          <w:rFonts w:eastAsia="Calibri" w:cs="Times New Roman"/>
        </w:rPr>
        <w:t>te</w:t>
      </w:r>
      <w:proofErr w:type="spellEnd"/>
      <w:r w:rsidRPr="00842D3D">
        <w:rPr>
          <w:rFonts w:eastAsia="Calibri" w:cs="Times New Roman"/>
        </w:rPr>
        <w:t xml:space="preserve"> automobile exception to the warrant requirement and holding that a state law enforcement officer can seize a suspect’s automobile if the officer has probable cause to believe that it contains evidence of a federal crime, even though the same conduct was not criminalized under state law).</w:t>
      </w:r>
    </w:p>
    <w:p w14:paraId="68E7DE3A" w14:textId="77777777" w:rsidR="00196A38" w:rsidRPr="00842D3D" w:rsidRDefault="00196A38" w:rsidP="00196A38">
      <w:pPr>
        <w:autoSpaceDE w:val="0"/>
        <w:autoSpaceDN w:val="0"/>
        <w:adjustRightInd w:val="0"/>
        <w:rPr>
          <w:rFonts w:eastAsia="Calibri" w:cs="Times New Roman"/>
          <w:szCs w:val="24"/>
        </w:rPr>
      </w:pPr>
    </w:p>
    <w:p w14:paraId="22453D0D"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seizure in violation</w:t>
      </w:r>
    </w:p>
    <w:p w14:paraId="5543D75D" w14:textId="77777777" w:rsidR="00196A38" w:rsidRPr="00842D3D" w:rsidRDefault="00196A38" w:rsidP="00196A38">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szCs w:val="24"/>
        </w:rPr>
        <w:t>Larez v. Holcomb</w:t>
      </w:r>
      <w:r w:rsidRPr="00842D3D">
        <w:rPr>
          <w:rFonts w:eastAsia="Calibri" w:cs="Times New Roman"/>
          <w:szCs w:val="24"/>
        </w:rPr>
        <w:t xml:space="preserve">, 16 F.3d 1513, 1517-18 (9th Cir. 1994) (“Larez at all times had the ultimate burden of proving to the jury that she had been seized unreasonably in violation of the Fourth Amendment.”); </w:t>
      </w:r>
      <w:r w:rsidRPr="00842D3D">
        <w:rPr>
          <w:rFonts w:eastAsia="Calibri" w:cs="Times New Roman"/>
          <w:i/>
          <w:szCs w:val="24"/>
        </w:rPr>
        <w:t>Pavao v. Pagay</w:t>
      </w:r>
      <w:r w:rsidRPr="00842D3D">
        <w:rPr>
          <w:rFonts w:eastAsia="Calibri" w:cs="Times New Roman"/>
          <w:szCs w:val="24"/>
        </w:rPr>
        <w:t xml:space="preserve">, 307 F.3d 915, 919 (9th Cir. 2002) (reaffirming that the plaintiff in § 1983 action “carries the ultimate burden of </w:t>
      </w:r>
      <w:r w:rsidRPr="00842D3D">
        <w:rPr>
          <w:rFonts w:eastAsia="Calibri" w:cs="Times New Roman"/>
          <w:szCs w:val="24"/>
        </w:rPr>
        <w:lastRenderedPageBreak/>
        <w:t xml:space="preserve">establishing each element of his or her claim, including lack of consent [to search]”);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Mueller v. Auker</w:t>
      </w:r>
      <w:r w:rsidRPr="00842D3D">
        <w:rPr>
          <w:rFonts w:eastAsia="Calibri" w:cs="Times New Roman"/>
          <w:szCs w:val="24"/>
        </w:rPr>
        <w:t xml:space="preserve">, 700 F.3d 1180, 1193 (9th Cir. 2012) (placing the burden on the plaintiff to establish absence of imminent danger in a claim of interference with the parent-child relationship). In </w:t>
      </w:r>
      <w:r w:rsidRPr="00842D3D">
        <w:rPr>
          <w:rFonts w:eastAsia="Calibri" w:cs="Times New Roman"/>
          <w:i/>
          <w:szCs w:val="24"/>
        </w:rPr>
        <w:t>Mueller</w:t>
      </w:r>
      <w:r w:rsidRPr="00842D3D">
        <w:rPr>
          <w:rFonts w:eastAsia="Calibri" w:cs="Times New Roman"/>
          <w:szCs w:val="24"/>
        </w:rPr>
        <w:t xml:space="preserve">, parents brought a § 1983 suit against law enforcement officers who removed their infant child to secure testing and treatment advised by physicians. On appeal, the </w:t>
      </w:r>
      <w:proofErr w:type="spellStart"/>
      <w:r w:rsidRPr="00842D3D">
        <w:rPr>
          <w:rFonts w:eastAsia="Calibri" w:cs="Times New Roman"/>
          <w:szCs w:val="24"/>
        </w:rPr>
        <w:t>Muellers</w:t>
      </w:r>
      <w:proofErr w:type="spellEnd"/>
      <w:r w:rsidRPr="00842D3D">
        <w:rPr>
          <w:rFonts w:eastAsia="Calibri" w:cs="Times New Roman"/>
          <w:szCs w:val="24"/>
        </w:rPr>
        <w:t xml:space="preserve"> argued that the jury instructions erroneously put the burden on them to show an absence of imminent danger to their child. </w:t>
      </w:r>
      <w:r w:rsidRPr="00842D3D">
        <w:rPr>
          <w:rFonts w:eastAsia="Calibri" w:cs="Times New Roman"/>
          <w:i/>
          <w:szCs w:val="24"/>
        </w:rPr>
        <w:t>Mueller</w:t>
      </w:r>
      <w:r w:rsidRPr="00842D3D">
        <w:rPr>
          <w:rFonts w:eastAsia="Calibri" w:cs="Times New Roman"/>
          <w:iCs/>
          <w:szCs w:val="24"/>
        </w:rPr>
        <w:t>,</w:t>
      </w:r>
      <w:r w:rsidRPr="00842D3D">
        <w:rPr>
          <w:rFonts w:eastAsia="Calibri" w:cs="Times New Roman"/>
          <w:szCs w:val="24"/>
        </w:rPr>
        <w:t xml:space="preserve"> 700 F.3d at 1193. The Ninth Circuit held that “[b]</w:t>
      </w:r>
      <w:proofErr w:type="spellStart"/>
      <w:r w:rsidRPr="00842D3D">
        <w:rPr>
          <w:rFonts w:eastAsia="Calibri" w:cs="Times New Roman"/>
          <w:szCs w:val="24"/>
        </w:rPr>
        <w:t>ecause</w:t>
      </w:r>
      <w:proofErr w:type="spellEnd"/>
      <w:r w:rsidRPr="00842D3D">
        <w:rPr>
          <w:rFonts w:eastAsia="Calibri" w:cs="Times New Roman"/>
          <w:szCs w:val="24"/>
        </w:rPr>
        <w:t xml:space="preserve"> the </w:t>
      </w:r>
      <w:proofErr w:type="spellStart"/>
      <w:r w:rsidRPr="00842D3D">
        <w:rPr>
          <w:rFonts w:eastAsia="Calibri" w:cs="Times New Roman"/>
          <w:szCs w:val="24"/>
        </w:rPr>
        <w:t>Muellers</w:t>
      </w:r>
      <w:proofErr w:type="spellEnd"/>
      <w:r w:rsidRPr="00842D3D">
        <w:rPr>
          <w:rFonts w:eastAsia="Calibri" w:cs="Times New Roman"/>
          <w:szCs w:val="24"/>
        </w:rPr>
        <w:t xml:space="preserve">’ claims arise under section 1983 the jury instructions properly placed the burden on the </w:t>
      </w:r>
      <w:proofErr w:type="spellStart"/>
      <w:r w:rsidRPr="00842D3D">
        <w:rPr>
          <w:rFonts w:eastAsia="Calibri" w:cs="Times New Roman"/>
          <w:szCs w:val="24"/>
        </w:rPr>
        <w:t>Muellers</w:t>
      </w:r>
      <w:proofErr w:type="spellEnd"/>
      <w:r w:rsidRPr="00842D3D">
        <w:rPr>
          <w:rFonts w:eastAsia="Calibri" w:cs="Times New Roman"/>
          <w:szCs w:val="24"/>
        </w:rPr>
        <w:t xml:space="preserve">.”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i/>
          <w:szCs w:val="24"/>
        </w:rPr>
        <w:t xml:space="preserve">cf. Hopkins v. </w:t>
      </w:r>
      <w:proofErr w:type="spellStart"/>
      <w:r w:rsidRPr="00842D3D">
        <w:rPr>
          <w:rFonts w:eastAsia="Calibri" w:cs="Times New Roman"/>
          <w:i/>
          <w:szCs w:val="24"/>
        </w:rPr>
        <w:t>Bonvicino</w:t>
      </w:r>
      <w:proofErr w:type="spellEnd"/>
      <w:r w:rsidRPr="00842D3D">
        <w:rPr>
          <w:rFonts w:eastAsia="Calibri" w:cs="Times New Roman"/>
          <w:szCs w:val="24"/>
        </w:rPr>
        <w:t>, 573 F.3d 752, 764 (9th Cir. 2009) (placing the burden on the defendant to show existence of exigent circumstance at the summary judgment stage).</w:t>
      </w:r>
    </w:p>
    <w:p w14:paraId="26A9FB1B" w14:textId="42F8D818" w:rsidR="00196A38" w:rsidRPr="00842D3D" w:rsidRDefault="00196A38" w:rsidP="00196A38">
      <w:pPr>
        <w:jc w:val="right"/>
        <w:rPr>
          <w:rFonts w:eastAsia="Calibri" w:cs="Times New Roman"/>
          <w:szCs w:val="24"/>
        </w:rPr>
      </w:pPr>
      <w:r w:rsidRPr="00842D3D">
        <w:rPr>
          <w:rFonts w:eastAsia="Calibri" w:cs="Times New Roman"/>
          <w:i/>
          <w:iCs/>
          <w:szCs w:val="24"/>
        </w:rPr>
        <w:t xml:space="preserve">Revised </w:t>
      </w:r>
      <w:r>
        <w:rPr>
          <w:rFonts w:eastAsia="Calibri" w:cs="Times New Roman"/>
          <w:i/>
          <w:iCs/>
          <w:szCs w:val="24"/>
        </w:rPr>
        <w:t xml:space="preserve">December </w:t>
      </w:r>
      <w:r w:rsidRPr="00842D3D">
        <w:rPr>
          <w:rFonts w:eastAsia="Calibri" w:cs="Times New Roman"/>
          <w:i/>
          <w:iCs/>
          <w:szCs w:val="24"/>
        </w:rPr>
        <w:t>2025</w:t>
      </w:r>
    </w:p>
    <w:p w14:paraId="3981BCD8"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38"/>
    <w:rsid w:val="00147419"/>
    <w:rsid w:val="001538F9"/>
    <w:rsid w:val="00196A38"/>
    <w:rsid w:val="0042339F"/>
    <w:rsid w:val="006D3AA0"/>
    <w:rsid w:val="007355C1"/>
    <w:rsid w:val="007A1570"/>
    <w:rsid w:val="007E0761"/>
    <w:rsid w:val="00895AE7"/>
    <w:rsid w:val="009D506C"/>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6977"/>
  <w15:chartTrackingRefBased/>
  <w15:docId w15:val="{8168299D-38D0-4BD0-A535-E5ADC3CA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38"/>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196A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6A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6A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6A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96A3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96A3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96A3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96A3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96A3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A38"/>
    <w:rPr>
      <w:rFonts w:eastAsiaTheme="majorEastAsia" w:cstheme="majorBidi"/>
      <w:color w:val="272727" w:themeColor="text1" w:themeTint="D8"/>
    </w:rPr>
  </w:style>
  <w:style w:type="paragraph" w:styleId="Title">
    <w:name w:val="Title"/>
    <w:basedOn w:val="Normal"/>
    <w:next w:val="Normal"/>
    <w:link w:val="TitleChar"/>
    <w:uiPriority w:val="10"/>
    <w:qFormat/>
    <w:rsid w:val="00196A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6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A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6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A38"/>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96A38"/>
    <w:rPr>
      <w:i/>
      <w:iCs/>
      <w:color w:val="404040" w:themeColor="text1" w:themeTint="BF"/>
    </w:rPr>
  </w:style>
  <w:style w:type="paragraph" w:styleId="ListParagraph">
    <w:name w:val="List Paragraph"/>
    <w:basedOn w:val="Normal"/>
    <w:uiPriority w:val="34"/>
    <w:qFormat/>
    <w:rsid w:val="00196A38"/>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196A38"/>
    <w:rPr>
      <w:i/>
      <w:iCs/>
      <w:color w:val="0F4761" w:themeColor="accent1" w:themeShade="BF"/>
    </w:rPr>
  </w:style>
  <w:style w:type="paragraph" w:styleId="IntenseQuote">
    <w:name w:val="Intense Quote"/>
    <w:basedOn w:val="Normal"/>
    <w:next w:val="Normal"/>
    <w:link w:val="IntenseQuoteChar"/>
    <w:uiPriority w:val="30"/>
    <w:qFormat/>
    <w:rsid w:val="00196A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96A38"/>
    <w:rPr>
      <w:i/>
      <w:iCs/>
      <w:color w:val="0F4761" w:themeColor="accent1" w:themeShade="BF"/>
    </w:rPr>
  </w:style>
  <w:style w:type="character" w:styleId="IntenseReference">
    <w:name w:val="Intense Reference"/>
    <w:basedOn w:val="DefaultParagraphFont"/>
    <w:uiPriority w:val="32"/>
    <w:qFormat/>
    <w:rsid w:val="00196A38"/>
    <w:rPr>
      <w:b/>
      <w:bCs/>
      <w:smallCaps/>
      <w:color w:val="0F4761" w:themeColor="accent1" w:themeShade="BF"/>
      <w:spacing w:val="5"/>
    </w:rPr>
  </w:style>
  <w:style w:type="paragraph" w:styleId="Revision">
    <w:name w:val="Revision"/>
    <w:hidden/>
    <w:uiPriority w:val="99"/>
    <w:semiHidden/>
    <w:rsid w:val="00196A38"/>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4</cp:revision>
  <dcterms:created xsi:type="dcterms:W3CDTF">2026-02-03T15:59:00Z</dcterms:created>
  <dcterms:modified xsi:type="dcterms:W3CDTF">2026-02-06T16:31:00Z</dcterms:modified>
</cp:coreProperties>
</file>