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E768" w14:textId="77777777" w:rsidR="00364431" w:rsidRPr="00842D3D" w:rsidRDefault="00364431" w:rsidP="00364431">
      <w:pPr>
        <w:autoSpaceDE w:val="0"/>
        <w:autoSpaceDN w:val="0"/>
        <w:adjustRightInd w:val="0"/>
        <w:jc w:val="center"/>
        <w:outlineLvl w:val="1"/>
        <w:rPr>
          <w:rFonts w:eastAsia="Calibri" w:cs="Times New Roman"/>
          <w:b/>
          <w:bCs/>
          <w:szCs w:val="24"/>
        </w:rPr>
      </w:pPr>
      <w:bookmarkStart w:id="0" w:name="_Toc214452533"/>
      <w:r w:rsidRPr="00842D3D">
        <w:rPr>
          <w:rFonts w:eastAsia="Calibri" w:cs="Times New Roman"/>
          <w:b/>
          <w:bCs/>
          <w:szCs w:val="24"/>
        </w:rPr>
        <w:t>9.2</w:t>
      </w:r>
      <w:r>
        <w:rPr>
          <w:rFonts w:eastAsia="Calibri" w:cs="Times New Roman"/>
          <w:b/>
          <w:bCs/>
          <w:szCs w:val="24"/>
        </w:rPr>
        <w:t>2</w:t>
      </w:r>
      <w:r w:rsidRPr="00842D3D">
        <w:rPr>
          <w:rFonts w:eastAsia="Calibri" w:cs="Times New Roman"/>
          <w:b/>
          <w:bCs/>
          <w:szCs w:val="24"/>
        </w:rPr>
        <w:t xml:space="preserve"> Particular Rights—Fourth Amendment—Unreasonable Seizure of Person—Generally</w:t>
      </w:r>
      <w:bookmarkEnd w:id="0"/>
    </w:p>
    <w:p w14:paraId="19EF8C86" w14:textId="77777777" w:rsidR="00364431" w:rsidRPr="00842D3D" w:rsidRDefault="00364431" w:rsidP="00364431">
      <w:pPr>
        <w:autoSpaceDE w:val="0"/>
        <w:autoSpaceDN w:val="0"/>
        <w:adjustRightInd w:val="0"/>
        <w:rPr>
          <w:rFonts w:eastAsia="Calibri" w:cs="Times New Roman"/>
          <w:szCs w:val="24"/>
        </w:rPr>
      </w:pPr>
    </w:p>
    <w:p w14:paraId="15EEC161" w14:textId="77777777" w:rsidR="00364431" w:rsidRPr="00842D3D" w:rsidRDefault="00364431" w:rsidP="00364431">
      <w:pPr>
        <w:autoSpaceDE w:val="0"/>
        <w:autoSpaceDN w:val="0"/>
        <w:adjustRightInd w:val="0"/>
        <w:rPr>
          <w:rFonts w:eastAsia="Calibri" w:cs="Times New Roman"/>
          <w:b/>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defendants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of </w:t>
      </w:r>
      <w:proofErr w:type="gramStart"/>
      <w:r w:rsidRPr="00842D3D">
        <w:rPr>
          <w:rFonts w:eastAsia="Calibri" w:cs="Times New Roman"/>
          <w:szCs w:val="24"/>
        </w:rPr>
        <w:t>particular rights</w:t>
      </w:r>
      <w:proofErr w:type="gramEnd"/>
      <w:r w:rsidRPr="00842D3D">
        <w:rPr>
          <w:rFonts w:eastAsia="Calibri" w:cs="Times New Roman"/>
          <w:szCs w:val="24"/>
        </w:rPr>
        <w:t xml:space="preserve">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037D71C5" w14:textId="77777777" w:rsidR="00364431" w:rsidRPr="00842D3D" w:rsidRDefault="00364431" w:rsidP="00364431">
      <w:pPr>
        <w:autoSpaceDE w:val="0"/>
        <w:autoSpaceDN w:val="0"/>
        <w:adjustRightInd w:val="0"/>
        <w:rPr>
          <w:rFonts w:eastAsia="Calibri" w:cs="Times New Roman"/>
          <w:szCs w:val="24"/>
        </w:rPr>
      </w:pPr>
    </w:p>
    <w:p w14:paraId="7E8249A3" w14:textId="77777777" w:rsidR="00364431" w:rsidRPr="00842D3D" w:rsidRDefault="00364431" w:rsidP="00364431">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seizure of [his] [her] [</w:t>
      </w:r>
      <w:proofErr w:type="gramStart"/>
      <w:r w:rsidRPr="00842D3D">
        <w:rPr>
          <w:rFonts w:eastAsia="Calibri" w:cs="Times New Roman"/>
          <w:i/>
          <w:iCs/>
          <w:szCs w:val="24"/>
          <w:u w:val="single"/>
        </w:rPr>
        <w:t>other</w:t>
      </w:r>
      <w:proofErr w:type="gramEnd"/>
      <w:r w:rsidRPr="00842D3D">
        <w:rPr>
          <w:rFonts w:eastAsia="Calibri" w:cs="Times New Roman"/>
          <w:i/>
          <w:iCs/>
          <w:szCs w:val="24"/>
          <w:u w:val="single"/>
        </w:rPr>
        <w:t xml:space="preserve"> pronoun</w:t>
      </w:r>
      <w:r w:rsidRPr="00842D3D">
        <w:rPr>
          <w:rFonts w:eastAsia="Calibri" w:cs="Times New Roman"/>
          <w:szCs w:val="24"/>
        </w:rPr>
        <w:t>] person.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674FDF75" w14:textId="77777777" w:rsidR="00364431" w:rsidRPr="00842D3D" w:rsidRDefault="00364431" w:rsidP="00364431">
      <w:pPr>
        <w:autoSpaceDE w:val="0"/>
        <w:autoSpaceDN w:val="0"/>
        <w:adjustRightInd w:val="0"/>
        <w:ind w:firstLine="720"/>
        <w:rPr>
          <w:rFonts w:eastAsia="Calibri" w:cs="Times New Roman"/>
          <w:szCs w:val="24"/>
        </w:rPr>
      </w:pPr>
    </w:p>
    <w:p w14:paraId="7E3C8569" w14:textId="77777777" w:rsidR="00364431" w:rsidRPr="00842D3D" w:rsidRDefault="00364431" w:rsidP="00364431">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seized the plaintiff [</w:t>
      </w:r>
      <w:r w:rsidRPr="00842D3D">
        <w:rPr>
          <w:rFonts w:eastAsia="Calibri" w:cs="Times New Roman"/>
          <w:i/>
          <w:iCs/>
          <w:szCs w:val="24"/>
          <w:u w:val="single"/>
        </w:rPr>
        <w:t>name</w:t>
      </w:r>
      <w:r w:rsidRPr="00842D3D">
        <w:rPr>
          <w:rFonts w:eastAsia="Calibri" w:cs="Times New Roman"/>
          <w:szCs w:val="24"/>
        </w:rPr>
        <w:t xml:space="preserve">]’s </w:t>
      </w:r>
      <w:proofErr w:type="gramStart"/>
      <w:r w:rsidRPr="00842D3D">
        <w:rPr>
          <w:rFonts w:eastAsia="Calibri" w:cs="Times New Roman"/>
          <w:szCs w:val="24"/>
        </w:rPr>
        <w:t>person;</w:t>
      </w:r>
      <w:proofErr w:type="gramEnd"/>
    </w:p>
    <w:p w14:paraId="72D6FB49" w14:textId="77777777" w:rsidR="00364431" w:rsidRPr="00842D3D" w:rsidRDefault="00364431" w:rsidP="00364431">
      <w:pPr>
        <w:autoSpaceDE w:val="0"/>
        <w:autoSpaceDN w:val="0"/>
        <w:adjustRightInd w:val="0"/>
        <w:ind w:firstLine="720"/>
        <w:rPr>
          <w:rFonts w:eastAsia="Calibri" w:cs="Times New Roman"/>
          <w:szCs w:val="24"/>
        </w:rPr>
      </w:pPr>
    </w:p>
    <w:p w14:paraId="3C732052" w14:textId="77777777" w:rsidR="00364431" w:rsidRPr="00842D3D" w:rsidRDefault="00364431" w:rsidP="00364431">
      <w:pPr>
        <w:autoSpaceDE w:val="0"/>
        <w:autoSpaceDN w:val="0"/>
        <w:adjustRightInd w:val="0"/>
        <w:ind w:firstLine="720"/>
        <w:rPr>
          <w:rFonts w:eastAsia="Calibri" w:cs="Times New Roman"/>
          <w:szCs w:val="24"/>
        </w:rPr>
      </w:pPr>
      <w:r w:rsidRPr="00842D3D">
        <w:rPr>
          <w:rFonts w:eastAsia="Calibri" w:cs="Times New Roman"/>
          <w:szCs w:val="24"/>
        </w:rPr>
        <w:t>Second, in seizing the plaintiff [</w:t>
      </w:r>
      <w:r w:rsidRPr="00842D3D">
        <w:rPr>
          <w:rFonts w:eastAsia="Calibri" w:cs="Times New Roman"/>
          <w:i/>
          <w:iCs/>
          <w:szCs w:val="24"/>
          <w:u w:val="single"/>
        </w:rPr>
        <w:t>name</w:t>
      </w:r>
      <w:r w:rsidRPr="00842D3D">
        <w:rPr>
          <w:rFonts w:eastAsia="Calibri" w:cs="Times New Roman"/>
          <w:szCs w:val="24"/>
        </w:rPr>
        <w:t>]’s person,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intentionally; and</w:t>
      </w:r>
    </w:p>
    <w:p w14:paraId="27ABCCEC" w14:textId="77777777" w:rsidR="00364431" w:rsidRPr="00842D3D" w:rsidRDefault="00364431" w:rsidP="00364431">
      <w:pPr>
        <w:ind w:firstLine="720"/>
        <w:rPr>
          <w:rFonts w:eastAsia="Calibri" w:cs="Times New Roman"/>
          <w:szCs w:val="24"/>
        </w:rPr>
      </w:pPr>
    </w:p>
    <w:p w14:paraId="04E13921" w14:textId="77777777" w:rsidR="00364431" w:rsidRPr="00842D3D" w:rsidRDefault="00364431" w:rsidP="00364431">
      <w:pPr>
        <w:autoSpaceDE w:val="0"/>
        <w:autoSpaceDN w:val="0"/>
        <w:adjustRightInd w:val="0"/>
        <w:ind w:firstLine="720"/>
        <w:rPr>
          <w:rFonts w:eastAsia="Calibri" w:cs="Times New Roman"/>
          <w:szCs w:val="24"/>
        </w:rPr>
      </w:pPr>
      <w:r w:rsidRPr="00842D3D">
        <w:rPr>
          <w:rFonts w:eastAsia="Calibri" w:cs="Times New Roman"/>
          <w:szCs w:val="24"/>
        </w:rPr>
        <w:t>Third, the seizure was unreasonable.</w:t>
      </w:r>
    </w:p>
    <w:p w14:paraId="4F594DBA" w14:textId="77777777" w:rsidR="00364431" w:rsidRPr="00842D3D" w:rsidRDefault="00364431" w:rsidP="00364431">
      <w:pPr>
        <w:autoSpaceDE w:val="0"/>
        <w:autoSpaceDN w:val="0"/>
        <w:adjustRightInd w:val="0"/>
        <w:rPr>
          <w:rFonts w:eastAsia="Calibri" w:cs="Times New Roman"/>
          <w:szCs w:val="24"/>
        </w:rPr>
      </w:pPr>
    </w:p>
    <w:p w14:paraId="3007AEE4" w14:textId="77777777" w:rsidR="00364431" w:rsidRPr="00842D3D" w:rsidRDefault="00364431" w:rsidP="00364431">
      <w:pPr>
        <w:autoSpaceDE w:val="0"/>
        <w:autoSpaceDN w:val="0"/>
        <w:adjustRightInd w:val="0"/>
        <w:rPr>
          <w:rFonts w:eastAsia="Calibri" w:cs="Times New Roman"/>
          <w:szCs w:val="24"/>
        </w:rPr>
      </w:pPr>
      <w:r w:rsidRPr="00842D3D">
        <w:rPr>
          <w:rFonts w:eastAsia="Calibri" w:cs="Times New Roman"/>
          <w:szCs w:val="24"/>
        </w:rPr>
        <w:tab/>
        <w:t>A defendant “seizes” the plaintiff’s person when [he] [she] [</w:t>
      </w:r>
      <w:r w:rsidRPr="00842D3D">
        <w:rPr>
          <w:rFonts w:eastAsia="Calibri" w:cs="Times New Roman"/>
          <w:i/>
          <w:iCs/>
          <w:szCs w:val="24"/>
          <w:u w:val="single"/>
        </w:rPr>
        <w:t>other pronoun</w:t>
      </w:r>
      <w:r w:rsidRPr="00842D3D">
        <w:rPr>
          <w:rFonts w:eastAsia="Calibri" w:cs="Times New Roman"/>
          <w:szCs w:val="24"/>
        </w:rPr>
        <w:t xml:space="preserve">] restrains the plaintiff’s liberty through coercion, physical force, or a show of authority. A person’s liberty is restrained when, under </w:t>
      </w:r>
      <w:proofErr w:type="gramStart"/>
      <w:r w:rsidRPr="00842D3D">
        <w:rPr>
          <w:rFonts w:eastAsia="Calibri" w:cs="Times New Roman"/>
          <w:szCs w:val="24"/>
        </w:rPr>
        <w:t>all of</w:t>
      </w:r>
      <w:proofErr w:type="gramEnd"/>
      <w:r w:rsidRPr="00842D3D">
        <w:rPr>
          <w:rFonts w:eastAsia="Calibri" w:cs="Times New Roman"/>
          <w:szCs w:val="24"/>
        </w:rPr>
        <w:t xml:space="preserve"> the circumstances, a reasonable person would not have felt free to ignore the presence of law enforcement officers and to go about [his] [her] [</w:t>
      </w:r>
      <w:r w:rsidRPr="00842D3D">
        <w:rPr>
          <w:rFonts w:eastAsia="Calibri" w:cs="Times New Roman"/>
          <w:i/>
          <w:iCs/>
          <w:szCs w:val="24"/>
          <w:u w:val="single"/>
        </w:rPr>
        <w:t>other pronoun</w:t>
      </w:r>
      <w:r w:rsidRPr="00842D3D">
        <w:rPr>
          <w:rFonts w:eastAsia="Calibri" w:cs="Times New Roman"/>
          <w:szCs w:val="24"/>
        </w:rPr>
        <w:t>] business.</w:t>
      </w:r>
    </w:p>
    <w:p w14:paraId="31CD1DE5" w14:textId="77777777" w:rsidR="00364431" w:rsidRPr="00842D3D" w:rsidRDefault="00364431" w:rsidP="00364431">
      <w:pPr>
        <w:autoSpaceDE w:val="0"/>
        <w:autoSpaceDN w:val="0"/>
        <w:adjustRightInd w:val="0"/>
        <w:rPr>
          <w:rFonts w:eastAsia="Calibri" w:cs="Times New Roman"/>
          <w:szCs w:val="24"/>
        </w:rPr>
      </w:pPr>
    </w:p>
    <w:p w14:paraId="2500B575" w14:textId="77777777" w:rsidR="00364431" w:rsidRPr="00842D3D" w:rsidRDefault="00364431" w:rsidP="00364431">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 xml:space="preserve">In determining whether a reasonable person in the plaintiff’s position would have felt free to leave, consider </w:t>
      </w:r>
      <w:proofErr w:type="gramStart"/>
      <w:r w:rsidRPr="00842D3D">
        <w:rPr>
          <w:rFonts w:eastAsia="Calibri" w:cs="Times New Roman"/>
        </w:rPr>
        <w:t>all of</w:t>
      </w:r>
      <w:proofErr w:type="gramEnd"/>
      <w:r w:rsidRPr="00842D3D">
        <w:rPr>
          <w:rFonts w:eastAsia="Calibri" w:cs="Times New Roman"/>
        </w:rPr>
        <w:t xml:space="preserve"> the circumstances, including:</w:t>
      </w:r>
    </w:p>
    <w:p w14:paraId="273E061F" w14:textId="77777777" w:rsidR="00364431" w:rsidRPr="00842D3D" w:rsidRDefault="00364431" w:rsidP="00364431">
      <w:pPr>
        <w:autoSpaceDE w:val="0"/>
        <w:autoSpaceDN w:val="0"/>
        <w:adjustRightInd w:val="0"/>
        <w:rPr>
          <w:rFonts w:eastAsia="Calibri" w:cs="Times New Roman"/>
        </w:rPr>
      </w:pPr>
    </w:p>
    <w:p w14:paraId="117DAB15" w14:textId="77777777" w:rsidR="00364431" w:rsidRPr="00842D3D" w:rsidRDefault="00364431" w:rsidP="00364431">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 xml:space="preserve">the number of officers </w:t>
      </w:r>
      <w:proofErr w:type="gramStart"/>
      <w:r w:rsidRPr="00842D3D">
        <w:rPr>
          <w:rFonts w:eastAsia="Calibri" w:cs="Times New Roman"/>
        </w:rPr>
        <w:t>present;</w:t>
      </w:r>
      <w:proofErr w:type="gramEnd"/>
    </w:p>
    <w:p w14:paraId="1D18F39D" w14:textId="77777777" w:rsidR="00364431" w:rsidRPr="00842D3D" w:rsidRDefault="00364431" w:rsidP="00364431">
      <w:pPr>
        <w:autoSpaceDE w:val="0"/>
        <w:autoSpaceDN w:val="0"/>
        <w:adjustRightInd w:val="0"/>
        <w:ind w:left="1440" w:hanging="720"/>
        <w:rPr>
          <w:rFonts w:eastAsia="Calibri" w:cs="Times New Roman"/>
        </w:rPr>
      </w:pPr>
    </w:p>
    <w:p w14:paraId="61467D3D" w14:textId="77777777" w:rsidR="00364431" w:rsidRPr="00842D3D" w:rsidRDefault="00364431" w:rsidP="00364431">
      <w:pPr>
        <w:autoSpaceDE w:val="0"/>
        <w:autoSpaceDN w:val="0"/>
        <w:adjustRightInd w:val="0"/>
        <w:ind w:left="1440" w:hanging="720"/>
        <w:rPr>
          <w:rFonts w:eastAsia="Calibri" w:cs="Times New Roman"/>
        </w:rPr>
      </w:pPr>
      <w:r w:rsidRPr="00842D3D">
        <w:rPr>
          <w:rFonts w:eastAsia="Calibri" w:cs="Times New Roman"/>
        </w:rPr>
        <w:t>(2)</w:t>
      </w:r>
      <w:r w:rsidRPr="00842D3D">
        <w:rPr>
          <w:rFonts w:eastAsia="Calibri" w:cs="Times New Roman"/>
        </w:rPr>
        <w:tab/>
        <w:t xml:space="preserve">whether weapons were </w:t>
      </w:r>
      <w:proofErr w:type="gramStart"/>
      <w:r w:rsidRPr="00842D3D">
        <w:rPr>
          <w:rFonts w:eastAsia="Calibri" w:cs="Times New Roman"/>
        </w:rPr>
        <w:t>displayed;</w:t>
      </w:r>
      <w:proofErr w:type="gramEnd"/>
    </w:p>
    <w:p w14:paraId="683F77A2" w14:textId="77777777" w:rsidR="00364431" w:rsidRPr="00842D3D" w:rsidRDefault="00364431" w:rsidP="00364431">
      <w:pPr>
        <w:autoSpaceDE w:val="0"/>
        <w:autoSpaceDN w:val="0"/>
        <w:adjustRightInd w:val="0"/>
        <w:ind w:left="1440" w:hanging="720"/>
        <w:rPr>
          <w:rFonts w:eastAsia="Calibri" w:cs="Times New Roman"/>
        </w:rPr>
      </w:pPr>
    </w:p>
    <w:p w14:paraId="65DD5FF6" w14:textId="77777777" w:rsidR="00364431" w:rsidRPr="00842D3D" w:rsidRDefault="00364431" w:rsidP="00364431">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 xml:space="preserve">whether the encounter occurred in a public or nonpublic </w:t>
      </w:r>
      <w:proofErr w:type="gramStart"/>
      <w:r w:rsidRPr="00842D3D">
        <w:rPr>
          <w:rFonts w:eastAsia="Calibri" w:cs="Times New Roman"/>
        </w:rPr>
        <w:t>setting;</w:t>
      </w:r>
      <w:proofErr w:type="gramEnd"/>
      <w:r w:rsidRPr="00842D3D">
        <w:rPr>
          <w:rFonts w:eastAsia="Calibri" w:cs="Times New Roman"/>
        </w:rPr>
        <w:t xml:space="preserve"> </w:t>
      </w:r>
    </w:p>
    <w:p w14:paraId="78B73F99" w14:textId="77777777" w:rsidR="00364431" w:rsidRPr="00842D3D" w:rsidRDefault="00364431" w:rsidP="00364431">
      <w:pPr>
        <w:autoSpaceDE w:val="0"/>
        <w:autoSpaceDN w:val="0"/>
        <w:adjustRightInd w:val="0"/>
        <w:ind w:left="1440" w:hanging="720"/>
        <w:rPr>
          <w:rFonts w:eastAsia="Calibri" w:cs="Times New Roman"/>
        </w:rPr>
      </w:pPr>
    </w:p>
    <w:p w14:paraId="290FCB9E" w14:textId="77777777" w:rsidR="00364431" w:rsidRPr="00842D3D" w:rsidRDefault="00364431" w:rsidP="00364431">
      <w:pPr>
        <w:autoSpaceDE w:val="0"/>
        <w:autoSpaceDN w:val="0"/>
        <w:adjustRightInd w:val="0"/>
        <w:ind w:left="1440" w:hanging="720"/>
        <w:rPr>
          <w:rFonts w:eastAsia="Calibri" w:cs="Times New Roman"/>
        </w:rPr>
      </w:pPr>
      <w:r w:rsidRPr="00842D3D">
        <w:rPr>
          <w:rFonts w:eastAsia="Calibri" w:cs="Times New Roman"/>
        </w:rPr>
        <w:t>(4)</w:t>
      </w:r>
      <w:r w:rsidRPr="00842D3D">
        <w:rPr>
          <w:rFonts w:eastAsia="Calibri" w:cs="Times New Roman"/>
        </w:rPr>
        <w:tab/>
        <w:t xml:space="preserve">whether the officer’s manner would imply that compliance would be compelled; and </w:t>
      </w:r>
    </w:p>
    <w:p w14:paraId="5E0329C3" w14:textId="77777777" w:rsidR="00364431" w:rsidRPr="00842D3D" w:rsidRDefault="00364431" w:rsidP="00364431">
      <w:pPr>
        <w:autoSpaceDE w:val="0"/>
        <w:autoSpaceDN w:val="0"/>
        <w:adjustRightInd w:val="0"/>
        <w:ind w:left="1440" w:hanging="720"/>
        <w:rPr>
          <w:rFonts w:eastAsia="Calibri" w:cs="Times New Roman"/>
        </w:rPr>
      </w:pPr>
    </w:p>
    <w:p w14:paraId="3A6614FA" w14:textId="77777777" w:rsidR="00364431" w:rsidRPr="00842D3D" w:rsidRDefault="00364431" w:rsidP="00364431">
      <w:pPr>
        <w:autoSpaceDE w:val="0"/>
        <w:autoSpaceDN w:val="0"/>
        <w:adjustRightInd w:val="0"/>
        <w:ind w:left="1440" w:hanging="720"/>
        <w:rPr>
          <w:rFonts w:eastAsia="Calibri" w:cs="Times New Roman"/>
        </w:rPr>
      </w:pPr>
      <w:r w:rsidRPr="00842D3D">
        <w:rPr>
          <w:rFonts w:eastAsia="Calibri" w:cs="Times New Roman"/>
        </w:rPr>
        <w:t>(5)</w:t>
      </w:r>
      <w:r w:rsidRPr="00842D3D">
        <w:rPr>
          <w:rFonts w:eastAsia="Calibri" w:cs="Times New Roman"/>
        </w:rPr>
        <w:tab/>
        <w:t xml:space="preserve">whether the officers advised the plaintiff that [he] [she] </w:t>
      </w:r>
      <w:r w:rsidRPr="00842D3D">
        <w:rPr>
          <w:rFonts w:eastAsia="Calibri" w:cs="Times New Roman"/>
          <w:szCs w:val="24"/>
        </w:rPr>
        <w:t>[</w:t>
      </w:r>
      <w:proofErr w:type="gramStart"/>
      <w:r w:rsidRPr="00842D3D">
        <w:rPr>
          <w:rFonts w:eastAsia="Calibri" w:cs="Times New Roman"/>
          <w:i/>
          <w:iCs/>
          <w:szCs w:val="24"/>
          <w:u w:val="single"/>
        </w:rPr>
        <w:t>other</w:t>
      </w:r>
      <w:proofErr w:type="gramEnd"/>
      <w:r w:rsidRPr="00842D3D">
        <w:rPr>
          <w:rFonts w:eastAsia="Calibri" w:cs="Times New Roman"/>
          <w:i/>
          <w:iCs/>
          <w:szCs w:val="24"/>
          <w:u w:val="single"/>
        </w:rPr>
        <w:t xml:space="preserve"> pronoun</w:t>
      </w:r>
      <w:r w:rsidRPr="00842D3D">
        <w:rPr>
          <w:rFonts w:eastAsia="Calibri" w:cs="Times New Roman"/>
          <w:szCs w:val="24"/>
        </w:rPr>
        <w:t xml:space="preserve">] </w:t>
      </w:r>
      <w:r w:rsidRPr="00842D3D">
        <w:rPr>
          <w:rFonts w:eastAsia="Calibri" w:cs="Times New Roman"/>
        </w:rPr>
        <w:t>was free to leave.</w:t>
      </w:r>
    </w:p>
    <w:p w14:paraId="793F8D50" w14:textId="77777777" w:rsidR="00364431" w:rsidRPr="00842D3D" w:rsidRDefault="00364431" w:rsidP="00364431">
      <w:pPr>
        <w:autoSpaceDE w:val="0"/>
        <w:autoSpaceDN w:val="0"/>
        <w:adjustRightInd w:val="0"/>
        <w:rPr>
          <w:rFonts w:eastAsia="Calibri" w:cs="Times New Roman"/>
        </w:rPr>
      </w:pPr>
    </w:p>
    <w:p w14:paraId="161D35BE" w14:textId="77777777" w:rsidR="00364431" w:rsidRPr="00842D3D" w:rsidRDefault="00364431" w:rsidP="00364431">
      <w:pPr>
        <w:autoSpaceDE w:val="0"/>
        <w:autoSpaceDN w:val="0"/>
        <w:adjustRightInd w:val="0"/>
        <w:rPr>
          <w:rFonts w:eastAsia="Calibri" w:cs="Times New Roman"/>
          <w:i/>
          <w:u w:val="single"/>
        </w:rPr>
      </w:pPr>
      <w:r w:rsidRPr="00842D3D">
        <w:rPr>
          <w:rFonts w:eastAsia="Calibri" w:cs="Times New Roman"/>
        </w:rPr>
        <w:tab/>
        <w:t xml:space="preserve">[A person acts “intentionally” when the person acts with a conscious objective to engage </w:t>
      </w:r>
      <w:proofErr w:type="gramStart"/>
      <w:r w:rsidRPr="00842D3D">
        <w:rPr>
          <w:rFonts w:eastAsia="Calibri" w:cs="Times New Roman"/>
        </w:rPr>
        <w:t>in particular conduct</w:t>
      </w:r>
      <w:proofErr w:type="gramEnd"/>
      <w:r w:rsidRPr="00842D3D">
        <w:rPr>
          <w:rFonts w:eastAsia="Calibri" w:cs="Times New Roman"/>
        </w:rPr>
        <w:t>. Therefore, the plaintiff must prove that the defendant intended to [</w:t>
      </w:r>
      <w:r w:rsidRPr="00842D3D">
        <w:rPr>
          <w:rFonts w:eastAsia="Calibri" w:cs="Times New Roman"/>
          <w:i/>
          <w:u w:val="single"/>
        </w:rPr>
        <w:t>insert</w:t>
      </w:r>
    </w:p>
    <w:p w14:paraId="79A38147" w14:textId="77777777" w:rsidR="00364431" w:rsidRPr="00842D3D" w:rsidRDefault="00364431" w:rsidP="00364431">
      <w:pPr>
        <w:autoSpaceDE w:val="0"/>
        <w:autoSpaceDN w:val="0"/>
        <w:adjustRightInd w:val="0"/>
        <w:rPr>
          <w:rFonts w:eastAsia="Calibri" w:cs="Times New Roman"/>
        </w:rPr>
      </w:pPr>
      <w:r w:rsidRPr="00842D3D">
        <w:rPr>
          <w:rFonts w:eastAsia="Calibri" w:cs="Times New Roman"/>
          <w:i/>
          <w:u w:val="single"/>
        </w:rPr>
        <w:t>the factual basis for the plaintiff’s claim</w:t>
      </w:r>
      <w:r w:rsidRPr="00842D3D">
        <w:rPr>
          <w:rFonts w:eastAsia="Calibri" w:cs="Times New Roman"/>
        </w:rPr>
        <w:t>]. It is not enough to prove that the defendant</w:t>
      </w:r>
    </w:p>
    <w:p w14:paraId="10A37708" w14:textId="77777777" w:rsidR="00364431" w:rsidRPr="00842D3D" w:rsidRDefault="00364431" w:rsidP="00364431">
      <w:pPr>
        <w:autoSpaceDE w:val="0"/>
        <w:autoSpaceDN w:val="0"/>
        <w:adjustRightInd w:val="0"/>
        <w:rPr>
          <w:rFonts w:eastAsia="Calibri" w:cs="Times New Roman"/>
        </w:rPr>
      </w:pPr>
      <w:r w:rsidRPr="00842D3D">
        <w:rPr>
          <w:rFonts w:eastAsia="Calibri" w:cs="Times New Roman"/>
        </w:rPr>
        <w:t>negligently or accidentally engaged in that action. But while the plaintiff must prove that the</w:t>
      </w:r>
    </w:p>
    <w:p w14:paraId="6A1A39A8" w14:textId="77777777" w:rsidR="00364431" w:rsidRPr="00842D3D" w:rsidRDefault="00364431" w:rsidP="00364431">
      <w:pPr>
        <w:autoSpaceDE w:val="0"/>
        <w:autoSpaceDN w:val="0"/>
        <w:adjustRightInd w:val="0"/>
        <w:rPr>
          <w:rFonts w:eastAsia="Calibri" w:cs="Times New Roman"/>
        </w:rPr>
      </w:pPr>
      <w:r w:rsidRPr="00842D3D">
        <w:rPr>
          <w:rFonts w:eastAsia="Calibri" w:cs="Times New Roman"/>
        </w:rPr>
        <w:t>defendant intended to act; the plaintiff need not prove that the defendant intended to violate the</w:t>
      </w:r>
    </w:p>
    <w:p w14:paraId="0B22D460" w14:textId="77777777" w:rsidR="00364431" w:rsidRPr="00842D3D" w:rsidRDefault="00364431" w:rsidP="00364431">
      <w:pPr>
        <w:autoSpaceDE w:val="0"/>
        <w:autoSpaceDN w:val="0"/>
        <w:adjustRightInd w:val="0"/>
        <w:rPr>
          <w:rFonts w:eastAsia="Calibri" w:cs="Times New Roman"/>
        </w:rPr>
      </w:pPr>
      <w:r w:rsidRPr="00842D3D">
        <w:rPr>
          <w:rFonts w:eastAsia="Calibri" w:cs="Times New Roman"/>
        </w:rPr>
        <w:lastRenderedPageBreak/>
        <w:t>plaintiff’s Fourth Amendment rights.]</w:t>
      </w:r>
    </w:p>
    <w:p w14:paraId="523A2165" w14:textId="77777777" w:rsidR="00364431" w:rsidRPr="00842D3D" w:rsidRDefault="00364431" w:rsidP="00364431">
      <w:pPr>
        <w:autoSpaceDE w:val="0"/>
        <w:autoSpaceDN w:val="0"/>
        <w:adjustRightInd w:val="0"/>
        <w:rPr>
          <w:rFonts w:eastAsia="Calibri" w:cs="Times New Roman"/>
        </w:rPr>
      </w:pPr>
    </w:p>
    <w:p w14:paraId="1B1FF437" w14:textId="77777777" w:rsidR="00364431" w:rsidRPr="00842D3D" w:rsidRDefault="00364431" w:rsidP="00364431">
      <w:pPr>
        <w:autoSpaceDE w:val="0"/>
        <w:autoSpaceDN w:val="0"/>
        <w:adjustRightInd w:val="0"/>
        <w:jc w:val="center"/>
        <w:rPr>
          <w:rFonts w:eastAsia="Calibri" w:cs="Times New Roman"/>
        </w:rPr>
      </w:pPr>
      <w:r w:rsidRPr="00842D3D">
        <w:rPr>
          <w:rFonts w:eastAsia="Calibri" w:cs="Times New Roman"/>
          <w:b/>
        </w:rPr>
        <w:t>Comment</w:t>
      </w:r>
    </w:p>
    <w:p w14:paraId="33E89143" w14:textId="77777777" w:rsidR="00364431" w:rsidRPr="00842D3D" w:rsidRDefault="00364431" w:rsidP="00364431">
      <w:pPr>
        <w:autoSpaceDE w:val="0"/>
        <w:autoSpaceDN w:val="0"/>
        <w:adjustRightInd w:val="0"/>
        <w:rPr>
          <w:rFonts w:eastAsia="Calibri" w:cs="Times New Roman"/>
        </w:rPr>
      </w:pPr>
    </w:p>
    <w:p w14:paraId="7C19826A" w14:textId="77777777" w:rsidR="00364431" w:rsidRPr="00842D3D" w:rsidRDefault="00364431" w:rsidP="00364431">
      <w:pPr>
        <w:autoSpaceDE w:val="0"/>
        <w:autoSpaceDN w:val="0"/>
        <w:adjustRightInd w:val="0"/>
        <w:rPr>
          <w:rFonts w:eastAsia="Calibri" w:cs="Times New Roman"/>
        </w:rPr>
      </w:pPr>
      <w:r w:rsidRPr="00842D3D">
        <w:rPr>
          <w:rFonts w:eastAsia="Calibri" w:cs="Times New Roman"/>
        </w:rPr>
        <w:tab/>
        <w:t xml:space="preserve">Use this instruction only in conjunction with the applicable </w:t>
      </w:r>
      <w:proofErr w:type="gramStart"/>
      <w:r w:rsidRPr="00842D3D">
        <w:rPr>
          <w:rFonts w:eastAsia="Calibri" w:cs="Times New Roman"/>
        </w:rPr>
        <w:t>elements</w:t>
      </w:r>
      <w:proofErr w:type="gramEnd"/>
      <w:r w:rsidRPr="00842D3D">
        <w:rPr>
          <w:rFonts w:eastAsia="Calibri" w:cs="Times New Roman"/>
        </w:rPr>
        <w:t xml:space="preserve"> instructions, Instructions 9.3-9.8, and with an appropriate definition of an unreasonable seizure such as Instructions 9.2</w:t>
      </w:r>
      <w:r>
        <w:rPr>
          <w:rFonts w:eastAsia="Calibri" w:cs="Times New Roman"/>
        </w:rPr>
        <w:t>3</w:t>
      </w:r>
      <w:r w:rsidRPr="00842D3D">
        <w:rPr>
          <w:rFonts w:eastAsia="Calibri" w:cs="Times New Roman"/>
        </w:rPr>
        <w:t>-9.2</w:t>
      </w:r>
      <w:r>
        <w:rPr>
          <w:rFonts w:eastAsia="Calibri" w:cs="Times New Roman"/>
        </w:rPr>
        <w:t>7</w:t>
      </w:r>
      <w:r w:rsidRPr="00842D3D">
        <w:rPr>
          <w:rFonts w:eastAsia="Calibri" w:cs="Times New Roman"/>
        </w:rPr>
        <w:t>.</w:t>
      </w:r>
    </w:p>
    <w:p w14:paraId="79AD1CDB" w14:textId="77777777" w:rsidR="00364431" w:rsidRPr="00842D3D" w:rsidRDefault="00364431" w:rsidP="00364431">
      <w:pPr>
        <w:autoSpaceDE w:val="0"/>
        <w:autoSpaceDN w:val="0"/>
        <w:adjustRightInd w:val="0"/>
        <w:rPr>
          <w:rFonts w:eastAsia="Calibri" w:cs="Times New Roman"/>
        </w:rPr>
      </w:pPr>
    </w:p>
    <w:p w14:paraId="0139039C" w14:textId="77777777" w:rsidR="00364431" w:rsidRPr="00842D3D" w:rsidRDefault="00364431" w:rsidP="00364431">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w:t>
      </w:r>
      <w:proofErr w:type="gramStart"/>
      <w:r w:rsidRPr="00842D3D">
        <w:rPr>
          <w:rFonts w:eastAsia="Calibri" w:cs="Times New Roman"/>
          <w:szCs w:val="24"/>
        </w:rPr>
        <w:t>each individual</w:t>
      </w:r>
      <w:proofErr w:type="gramEnd"/>
      <w:r w:rsidRPr="00842D3D">
        <w:rPr>
          <w:rFonts w:eastAsia="Calibri" w:cs="Times New Roman"/>
          <w:szCs w:val="24"/>
        </w:rPr>
        <w:t xml:space="preserve"> specifically in lieu of using the generic term “officers” or “defendants.” In </w:t>
      </w:r>
      <w:proofErr w:type="spellStart"/>
      <w:r w:rsidRPr="00842D3D">
        <w:rPr>
          <w:rFonts w:eastAsia="Calibri" w:cs="Times New Roman"/>
          <w:i/>
          <w:iCs/>
          <w:szCs w:val="24"/>
        </w:rPr>
        <w:t>Chinaryan</w:t>
      </w:r>
      <w:proofErr w:type="spellEnd"/>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i/>
          <w:iCs/>
          <w:szCs w:val="24"/>
          <w:bdr w:val="none" w:sz="0" w:space="0" w:color="auto" w:frame="1"/>
        </w:rPr>
        <w:t xml:space="preserve">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proofErr w:type="gramStart"/>
      <w:r w:rsidRPr="00842D3D">
        <w:rPr>
          <w:rFonts w:eastAsia="Times New Roman" w:cs="Times New Roman"/>
          <w:szCs w:val="24"/>
        </w:rPr>
        <w:t>In light of</w:t>
      </w:r>
      <w:proofErr w:type="gramEnd"/>
      <w:r w:rsidRPr="00842D3D">
        <w:rPr>
          <w:rFonts w:eastAsia="Times New Roman" w:cs="Times New Roman"/>
          <w:szCs w:val="24"/>
        </w:rPr>
        <w:t xml:space="preserve"> </w:t>
      </w:r>
      <w:proofErr w:type="spellStart"/>
      <w:r w:rsidRPr="00842D3D">
        <w:rPr>
          <w:rFonts w:eastAsia="Times New Roman" w:cs="Times New Roman"/>
          <w:i/>
          <w:iCs/>
          <w:szCs w:val="24"/>
          <w:bdr w:val="none" w:sz="0" w:space="0" w:color="auto" w:frame="1"/>
        </w:rPr>
        <w:t>Chinaryan</w:t>
      </w:r>
      <w:proofErr w:type="spellEnd"/>
      <w:r w:rsidRPr="00842D3D">
        <w:rPr>
          <w:rFonts w:eastAsia="Times New Roman" w:cs="Times New Roman"/>
          <w:szCs w:val="24"/>
        </w:rPr>
        <w:t>, the trial judge may consider using a special verdict to identify the specific findings as to each plaintiff and defendant.</w:t>
      </w:r>
    </w:p>
    <w:p w14:paraId="034C2981" w14:textId="77777777" w:rsidR="00364431" w:rsidRPr="00842D3D" w:rsidRDefault="00364431" w:rsidP="00364431">
      <w:pPr>
        <w:autoSpaceDE w:val="0"/>
        <w:autoSpaceDN w:val="0"/>
        <w:adjustRightInd w:val="0"/>
        <w:rPr>
          <w:rFonts w:eastAsia="Calibri" w:cs="Times New Roman"/>
        </w:rPr>
      </w:pPr>
    </w:p>
    <w:p w14:paraId="1BE0E553" w14:textId="77777777" w:rsidR="00364431" w:rsidRPr="00842D3D" w:rsidRDefault="00364431" w:rsidP="00364431">
      <w:pPr>
        <w:autoSpaceDE w:val="0"/>
        <w:autoSpaceDN w:val="0"/>
        <w:adjustRightInd w:val="0"/>
        <w:rPr>
          <w:rFonts w:eastAsia="Calibri" w:cs="Times New Roman"/>
        </w:rPr>
      </w:pPr>
      <w:r w:rsidRPr="00842D3D">
        <w:rPr>
          <w:rFonts w:eastAsia="Calibri" w:cs="Times New Roman"/>
        </w:rPr>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842D3D">
        <w:rPr>
          <w:rFonts w:eastAsia="Calibri" w:cs="Times New Roman"/>
          <w:i/>
        </w:rPr>
        <w:t>Graham v. Connor</w:t>
      </w:r>
      <w:r w:rsidRPr="00842D3D">
        <w:rPr>
          <w:rFonts w:eastAsia="Calibri" w:cs="Times New Roman"/>
        </w:rPr>
        <w:t xml:space="preserve">, 490 U.S. 386, 395 n.10 (1989) (omissions in original) (quoting </w:t>
      </w:r>
      <w:r w:rsidRPr="00842D3D">
        <w:rPr>
          <w:rFonts w:eastAsia="Calibri" w:cs="Times New Roman"/>
          <w:i/>
        </w:rPr>
        <w:t>Terry v. Ohio</w:t>
      </w:r>
      <w:r w:rsidRPr="00842D3D">
        <w:rPr>
          <w:rFonts w:eastAsia="Calibri" w:cs="Times New Roman"/>
        </w:rPr>
        <w:t xml:space="preserve">, 392 U.S. 1, 19 n.16 (1968)). This may occur through coercion, physical force, or a show of authority. </w:t>
      </w:r>
      <w:r w:rsidRPr="00842D3D">
        <w:rPr>
          <w:rFonts w:eastAsia="Calibri" w:cs="Times New Roman"/>
          <w:i/>
        </w:rPr>
        <w:t>United States v. Chan-Jimenez</w:t>
      </w:r>
      <w:r w:rsidRPr="00842D3D">
        <w:rPr>
          <w:rFonts w:eastAsia="Calibri" w:cs="Times New Roman"/>
        </w:rPr>
        <w:t>, 125 F.3d 1324, 1326 (9th Cir. 1997). A person’s liberty is restrained when, “</w:t>
      </w:r>
      <w:proofErr w:type="gramStart"/>
      <w:r w:rsidRPr="00842D3D">
        <w:rPr>
          <w:rFonts w:eastAsia="Calibri" w:cs="Times New Roman"/>
        </w:rPr>
        <w:t>taking into account</w:t>
      </w:r>
      <w:proofErr w:type="gramEnd"/>
      <w:r w:rsidRPr="00842D3D">
        <w:rPr>
          <w:rFonts w:eastAsia="Calibri" w:cs="Times New Roman"/>
        </w:rPr>
        <w:t xml:space="preserve"> all of the circumstances surrounding the encounter, the police conduct would ‘have communicated to a reasonable person that he was not at liberty to ignore the police presence and go about his business.’” </w:t>
      </w:r>
      <w:r w:rsidRPr="00842D3D">
        <w:rPr>
          <w:rFonts w:eastAsia="Calibri" w:cs="Times New Roman"/>
          <w:i/>
        </w:rPr>
        <w:t>Florida v. Bostick</w:t>
      </w:r>
      <w:r w:rsidRPr="00842D3D">
        <w:rPr>
          <w:rFonts w:eastAsia="Calibri" w:cs="Times New Roman"/>
        </w:rPr>
        <w:t>, 501 U.S. 429, 437 (1991</w:t>
      </w:r>
      <w:r w:rsidRPr="00842D3D">
        <w:rPr>
          <w:rFonts w:eastAsia="Calibri" w:cs="Times New Roman"/>
          <w:szCs w:val="24"/>
        </w:rPr>
        <w:t>);</w:t>
      </w:r>
      <w:r w:rsidRPr="00842D3D">
        <w:rPr>
          <w:rFonts w:eastAsia="Calibri" w:cs="Times New Roman"/>
        </w:rPr>
        <w:t xml:space="preserve"> </w:t>
      </w:r>
      <w:r w:rsidRPr="00842D3D">
        <w:rPr>
          <w:rFonts w:eastAsia="Calibri" w:cs="Times New Roman"/>
          <w:i/>
        </w:rPr>
        <w:t>see also Dees v. County of San Diego</w:t>
      </w:r>
      <w:r w:rsidRPr="00842D3D">
        <w:rPr>
          <w:rFonts w:eastAsia="Calibri" w:cs="Times New Roman"/>
        </w:rPr>
        <w:t>, 960 F.3d 1145, 1154 (9th Cir. 2020)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w:t>
      </w:r>
    </w:p>
    <w:p w14:paraId="1DCA6D9E" w14:textId="77777777" w:rsidR="00364431" w:rsidRPr="00842D3D" w:rsidRDefault="00364431" w:rsidP="00364431">
      <w:pPr>
        <w:autoSpaceDE w:val="0"/>
        <w:autoSpaceDN w:val="0"/>
        <w:adjustRightInd w:val="0"/>
        <w:rPr>
          <w:rFonts w:eastAsia="Calibri" w:cs="Times New Roman"/>
        </w:rPr>
      </w:pPr>
    </w:p>
    <w:p w14:paraId="79DC0406" w14:textId="77777777" w:rsidR="00364431" w:rsidRDefault="00364431" w:rsidP="00364431">
      <w:pPr>
        <w:autoSpaceDE w:val="0"/>
        <w:autoSpaceDN w:val="0"/>
        <w:adjustRightInd w:val="0"/>
        <w:ind w:firstLine="720"/>
        <w:rPr>
          <w:rFonts w:eastAsia="Calibri" w:cs="Times New Roman"/>
        </w:rPr>
      </w:pPr>
      <w:r w:rsidRPr="00842D3D">
        <w:rPr>
          <w:rFonts w:eastAsia="Calibri" w:cs="Times New Roman"/>
        </w:rPr>
        <w:t xml:space="preserve">A seizure requires the use of force with an intent to restrain. The Supreme Court has defined a seizure of a person as “a governmental termination of freedom of movement </w:t>
      </w:r>
      <w:r w:rsidRPr="00842D3D">
        <w:rPr>
          <w:rFonts w:eastAsia="Calibri" w:cs="Times New Roman"/>
          <w:i/>
        </w:rPr>
        <w:t>through means intentionally applied</w:t>
      </w:r>
      <w:r w:rsidRPr="00842D3D">
        <w:rPr>
          <w:rFonts w:eastAsia="Calibri" w:cs="Times New Roman"/>
        </w:rPr>
        <w:t xml:space="preserve">.” </w:t>
      </w:r>
      <w:r w:rsidRPr="00842D3D">
        <w:rPr>
          <w:rFonts w:eastAsia="Calibri" w:cs="Times New Roman"/>
          <w:i/>
        </w:rPr>
        <w:t>Brower v. County of Inyo</w:t>
      </w:r>
      <w:r w:rsidRPr="00842D3D">
        <w:rPr>
          <w:rFonts w:eastAsia="Calibri" w:cs="Times New Roman"/>
        </w:rPr>
        <w:t xml:space="preserve">, 489 U.S. 593, 596-97 (1989) (emphasis in original); </w:t>
      </w:r>
      <w:r w:rsidRPr="00842D3D">
        <w:rPr>
          <w:rFonts w:eastAsia="Calibri" w:cs="Times New Roman"/>
          <w:i/>
        </w:rPr>
        <w:t>see also</w:t>
      </w:r>
      <w:r w:rsidRPr="00842D3D">
        <w:rPr>
          <w:rFonts w:eastAsia="Calibri" w:cs="Times New Roman"/>
        </w:rPr>
        <w:t xml:space="preserve"> </w:t>
      </w:r>
      <w:r w:rsidRPr="00842D3D">
        <w:rPr>
          <w:rFonts w:eastAsia="Calibri" w:cs="Times New Roman"/>
          <w:i/>
        </w:rPr>
        <w:t>Torres v. Madrid,</w:t>
      </w:r>
      <w:r w:rsidRPr="00842D3D">
        <w:rPr>
          <w:rFonts w:eastAsia="Calibri" w:cs="Times New Roman"/>
        </w:rPr>
        <w:t xml:space="preserve"> 592 U.S. 306, 317 (2021) (“A seizure requires the use of force with intent to restrain. Accidental force will not qualify.”); </w:t>
      </w:r>
      <w:proofErr w:type="spellStart"/>
      <w:r w:rsidRPr="00842D3D">
        <w:rPr>
          <w:rFonts w:eastAsia="Calibri" w:cs="Times New Roman"/>
          <w:i/>
        </w:rPr>
        <w:t>Brendlin</w:t>
      </w:r>
      <w:proofErr w:type="spellEnd"/>
      <w:r w:rsidRPr="00842D3D">
        <w:rPr>
          <w:rFonts w:eastAsia="Calibri" w:cs="Times New Roman"/>
          <w:i/>
        </w:rPr>
        <w:t xml:space="preserve"> v. California</w:t>
      </w:r>
      <w:r w:rsidRPr="00842D3D">
        <w:rPr>
          <w:rFonts w:eastAsia="Calibri" w:cs="Times New Roman"/>
        </w:rPr>
        <w:t xml:space="preserve">, 551 U.S. 249, 254 (2007). Thus, this instruction includes an optional definition of the term “intentionally” for use when it would be helpful to the jury. </w:t>
      </w:r>
      <w:r w:rsidRPr="00842D3D">
        <w:rPr>
          <w:rFonts w:eastAsia="Calibri" w:cs="Times New Roman"/>
          <w:szCs w:val="24"/>
        </w:rPr>
        <w:t>“[A]</w:t>
      </w:r>
      <w:r w:rsidRPr="00842D3D">
        <w:rPr>
          <w:rFonts w:eastAsia="Calibri" w:cs="Times New Roman"/>
        </w:rPr>
        <w:t xml:space="preserve"> passenger struck by a bullet intended to stop the driver of a vehicle” has been seized. </w:t>
      </w:r>
      <w:r w:rsidRPr="00842D3D">
        <w:rPr>
          <w:rFonts w:eastAsia="Calibri" w:cs="Times New Roman"/>
          <w:i/>
        </w:rPr>
        <w:t>Villanueva v. California</w:t>
      </w:r>
      <w:r w:rsidRPr="00842D3D">
        <w:rPr>
          <w:rFonts w:eastAsia="Calibri" w:cs="Times New Roman"/>
        </w:rPr>
        <w:t xml:space="preserve">, 986 F.3d 1158, 1165 (9th Cir. 2021). Further, “the inquiry into the intentionality of the use of force considers ‘whether the challenged conduct </w:t>
      </w:r>
      <w:r w:rsidRPr="00842D3D">
        <w:rPr>
          <w:rFonts w:eastAsia="Calibri" w:cs="Times New Roman"/>
          <w:i/>
          <w:iCs/>
        </w:rPr>
        <w:t xml:space="preserve">objectively </w:t>
      </w:r>
      <w:r w:rsidRPr="00842D3D">
        <w:rPr>
          <w:rFonts w:eastAsia="Calibri" w:cs="Times New Roman"/>
        </w:rPr>
        <w:t xml:space="preserve">manifests an intent to restrain.’” </w:t>
      </w:r>
      <w:r w:rsidRPr="00842D3D">
        <w:rPr>
          <w:rFonts w:eastAsia="Calibri" w:cs="Times New Roman"/>
          <w:i/>
          <w:iCs/>
        </w:rPr>
        <w:t>Cheairs v. City of Seattle</w:t>
      </w:r>
      <w:r w:rsidRPr="00842D3D">
        <w:rPr>
          <w:rFonts w:eastAsia="Calibri" w:cs="Times New Roman"/>
        </w:rPr>
        <w:t xml:space="preserve">, 145 F.4th 1233, 1240 (9th Cir. 2025) (quoting </w:t>
      </w:r>
      <w:r w:rsidRPr="00842D3D">
        <w:rPr>
          <w:rFonts w:eastAsia="Calibri" w:cs="Times New Roman"/>
          <w:i/>
          <w:iCs/>
        </w:rPr>
        <w:t xml:space="preserve">Torres, </w:t>
      </w:r>
      <w:r w:rsidRPr="00842D3D">
        <w:rPr>
          <w:rFonts w:eastAsia="Calibri" w:cs="Times New Roman"/>
        </w:rPr>
        <w:t xml:space="preserve">592 U.S. at 317). </w:t>
      </w:r>
    </w:p>
    <w:p w14:paraId="073E19B8" w14:textId="77777777" w:rsidR="00364431" w:rsidRPr="00842D3D" w:rsidRDefault="00364431" w:rsidP="00364431">
      <w:pPr>
        <w:autoSpaceDE w:val="0"/>
        <w:autoSpaceDN w:val="0"/>
        <w:adjustRightInd w:val="0"/>
        <w:ind w:firstLine="720"/>
        <w:rPr>
          <w:rFonts w:eastAsia="Calibri" w:cs="Times New Roman"/>
        </w:rPr>
      </w:pPr>
    </w:p>
    <w:p w14:paraId="08935687" w14:textId="77777777" w:rsidR="00364431" w:rsidRPr="00842D3D" w:rsidRDefault="00364431" w:rsidP="00364431">
      <w:pPr>
        <w:autoSpaceDE w:val="0"/>
        <w:autoSpaceDN w:val="0"/>
        <w:adjustRightInd w:val="0"/>
        <w:ind w:firstLine="720"/>
        <w:rPr>
          <w:rFonts w:eastAsia="Calibri" w:cs="Times New Roman"/>
        </w:rPr>
      </w:pPr>
      <w:r w:rsidRPr="00842D3D">
        <w:rPr>
          <w:rFonts w:eastAsia="Calibri" w:cs="Times New Roman"/>
        </w:rPr>
        <w:lastRenderedPageBreak/>
        <w:t xml:space="preserve">In </w:t>
      </w:r>
      <w:r w:rsidRPr="00842D3D">
        <w:rPr>
          <w:rFonts w:eastAsia="Calibri" w:cs="Times New Roman"/>
          <w:i/>
          <w:iCs/>
        </w:rPr>
        <w:t>Sanderlin v. Panighetti</w:t>
      </w:r>
      <w:r w:rsidRPr="00842D3D">
        <w:rPr>
          <w:rFonts w:eastAsia="Calibri" w:cs="Times New Roman"/>
        </w:rPr>
        <w:t xml:space="preserve">, the Ninth Circuit held that the defendant seized the plaintiff when he “intentionally applied physical force, and as a result, [the plaintiff’s] ‘freedom of movement [was] restrained.’” 116 F.4th 905, 912 (9th Cir. 2024) (citation omitted). It did not matter that the defendant’s incapacitation of the plaintiff was limited in duration nor was it relevant that the plaintiff was able to walk away. </w:t>
      </w:r>
      <w:r w:rsidRPr="00842D3D">
        <w:rPr>
          <w:rFonts w:eastAsia="Calibri" w:cs="Times New Roman"/>
          <w:i/>
          <w:iCs/>
        </w:rPr>
        <w:t>Id.</w:t>
      </w:r>
      <w:r w:rsidRPr="00842D3D">
        <w:rPr>
          <w:rFonts w:eastAsia="Calibri" w:cs="Times New Roman"/>
        </w:rPr>
        <w:t xml:space="preserve"> Further, the method of force that the defendant used—firing foam batons—incapacitated its target, and a reasonable trier of fact could conclude that by firing a projectile at plaintiff, the defendant objectively manifested an intent to restrain the plaintiff. </w:t>
      </w:r>
      <w:r w:rsidRPr="00842D3D">
        <w:rPr>
          <w:rFonts w:eastAsia="Calibri" w:cs="Times New Roman"/>
          <w:i/>
          <w:iCs/>
        </w:rPr>
        <w:t>Id.</w:t>
      </w:r>
      <w:r w:rsidRPr="00842D3D">
        <w:rPr>
          <w:rFonts w:eastAsia="Calibri" w:cs="Times New Roman"/>
        </w:rPr>
        <w:t xml:space="preserve"> The defendant’s subjective intent was irrelevant. </w:t>
      </w:r>
      <w:proofErr w:type="gramStart"/>
      <w:r w:rsidRPr="00842D3D">
        <w:rPr>
          <w:rFonts w:eastAsia="Calibri" w:cs="Times New Roman"/>
          <w:i/>
          <w:iCs/>
        </w:rPr>
        <w:t>Id</w:t>
      </w:r>
      <w:r w:rsidRPr="00842D3D">
        <w:rPr>
          <w:rFonts w:eastAsia="Calibri" w:cs="Times New Roman"/>
        </w:rPr>
        <w:t>.;</w:t>
      </w:r>
      <w:proofErr w:type="gramEnd"/>
      <w:r w:rsidRPr="00842D3D">
        <w:rPr>
          <w:rFonts w:eastAsia="Calibri" w:cs="Times New Roman"/>
        </w:rPr>
        <w:t xml:space="preserve"> </w:t>
      </w:r>
      <w:r w:rsidRPr="00842D3D">
        <w:rPr>
          <w:rFonts w:eastAsia="Calibri" w:cs="Times New Roman"/>
          <w:i/>
          <w:iCs/>
        </w:rPr>
        <w:t>see Cheairs</w:t>
      </w:r>
      <w:r w:rsidRPr="00842D3D">
        <w:rPr>
          <w:rFonts w:eastAsia="Calibri" w:cs="Times New Roman"/>
        </w:rPr>
        <w:t>, 145 F.4th at 1246 (holding that the use of blast ball thrown overhand in the space between protestors and the police line, as an alleged objective intent to restrain, was not amenable to summary judgment).</w:t>
      </w:r>
    </w:p>
    <w:p w14:paraId="176B29F9" w14:textId="77777777" w:rsidR="00364431" w:rsidRPr="00842D3D" w:rsidRDefault="00364431" w:rsidP="00364431">
      <w:pPr>
        <w:autoSpaceDE w:val="0"/>
        <w:autoSpaceDN w:val="0"/>
        <w:adjustRightInd w:val="0"/>
        <w:rPr>
          <w:rFonts w:eastAsia="Calibri" w:cs="Times New Roman"/>
        </w:rPr>
      </w:pPr>
    </w:p>
    <w:p w14:paraId="4189F8E0" w14:textId="106B245E" w:rsidR="00364431" w:rsidRDefault="00364431" w:rsidP="00364431">
      <w:pPr>
        <w:autoSpaceDE w:val="0"/>
        <w:autoSpaceDN w:val="0"/>
        <w:adjustRightInd w:val="0"/>
        <w:ind w:firstLine="720"/>
        <w:rPr>
          <w:rFonts w:eastAsia="Calibri" w:cs="Times New Roman"/>
        </w:rPr>
      </w:pPr>
      <w:r w:rsidRPr="00842D3D">
        <w:rPr>
          <w:rFonts w:eastAsia="Calibri" w:cs="Times New Roman"/>
        </w:rPr>
        <w:t xml:space="preserve">A seizure, however, “does not occur simply because a police officer approaches an individual and asks a few questions.” </w:t>
      </w:r>
      <w:r w:rsidRPr="00842D3D">
        <w:rPr>
          <w:rFonts w:eastAsia="Calibri" w:cs="Times New Roman"/>
          <w:i/>
        </w:rPr>
        <w:t>Bostick,</w:t>
      </w:r>
      <w:r w:rsidRPr="00842D3D">
        <w:rPr>
          <w:rFonts w:eastAsia="Calibri" w:cs="Times New Roman"/>
        </w:rPr>
        <w:t xml:space="preserve"> 501 U.S. at 434; </w:t>
      </w:r>
      <w:r w:rsidRPr="00842D3D">
        <w:rPr>
          <w:rFonts w:eastAsia="Calibri" w:cs="Times New Roman"/>
          <w:i/>
        </w:rPr>
        <w:t>accord United States v. Brown</w:t>
      </w:r>
      <w:r w:rsidRPr="00842D3D">
        <w:rPr>
          <w:rFonts w:eastAsia="Calibri" w:cs="Times New Roman"/>
        </w:rPr>
        <w:t xml:space="preserve">, 996 F.3d 998, 1005 (9th Cir. 2021). The general rule is that “a person has been ‘seized’ within the meaning of the Fourth Amendment only if, in view of </w:t>
      </w:r>
      <w:proofErr w:type="gramStart"/>
      <w:r w:rsidRPr="00842D3D">
        <w:rPr>
          <w:rFonts w:eastAsia="Calibri" w:cs="Times New Roman"/>
        </w:rPr>
        <w:t>all of</w:t>
      </w:r>
      <w:proofErr w:type="gramEnd"/>
      <w:r w:rsidRPr="00842D3D">
        <w:rPr>
          <w:rFonts w:eastAsia="Calibri" w:cs="Times New Roman"/>
        </w:rPr>
        <w:t xml:space="preserve"> the circumstances surrounding the incident, a reasonable person would have believed that he was not free to leave.” </w:t>
      </w:r>
      <w:r w:rsidRPr="00842D3D">
        <w:rPr>
          <w:rFonts w:eastAsia="Calibri" w:cs="Times New Roman"/>
          <w:i/>
        </w:rPr>
        <w:t>United States v. Mendenhall</w:t>
      </w:r>
      <w:r w:rsidRPr="00842D3D">
        <w:rPr>
          <w:rFonts w:eastAsia="Calibri" w:cs="Times New Roman"/>
        </w:rPr>
        <w:t xml:space="preserve">, 446 U.S. 544, 554 (1980) (“characterizing every street encounter between a citizen and the police as a ‘seizure,’ while not enhancing any interest secured by the Fourth Amendment, would impose wholly unrealistic restrictions upon a wide variety of legitimate law enforcement practices”); </w:t>
      </w:r>
      <w:r w:rsidRPr="00842D3D">
        <w:rPr>
          <w:rFonts w:eastAsia="Calibri" w:cs="Times New Roman"/>
          <w:i/>
        </w:rPr>
        <w:t>see also Dees</w:t>
      </w:r>
      <w:r w:rsidRPr="00842D3D">
        <w:rPr>
          <w:rFonts w:eastAsia="Calibri" w:cs="Times New Roman"/>
        </w:rPr>
        <w:t>,</w:t>
      </w:r>
      <w:r w:rsidRPr="00842D3D">
        <w:rPr>
          <w:rFonts w:eastAsia="Calibri" w:cs="Times New Roman"/>
          <w:i/>
        </w:rPr>
        <w:t xml:space="preserve"> </w:t>
      </w:r>
      <w:r w:rsidRPr="00842D3D">
        <w:rPr>
          <w:rFonts w:eastAsia="Calibri" w:cs="Times New Roman"/>
        </w:rPr>
        <w:t xml:space="preserve">960 F.3d </w:t>
      </w:r>
      <w:r w:rsidRPr="00842D3D">
        <w:rPr>
          <w:rFonts w:eastAsia="Calibri" w:cs="Times New Roman"/>
          <w:szCs w:val="24"/>
        </w:rPr>
        <w:t>at</w:t>
      </w:r>
      <w:r w:rsidRPr="00842D3D">
        <w:rPr>
          <w:rFonts w:eastAsia="Calibri" w:cs="Times New Roman"/>
        </w:rPr>
        <w:t xml:space="preserve"> 1154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In addition, a seizure “requires either physical force . . . or, where that is absent, submission to the assertion of authority.” </w:t>
      </w:r>
      <w:r w:rsidRPr="00842D3D">
        <w:rPr>
          <w:rFonts w:eastAsia="Calibri" w:cs="Times New Roman"/>
          <w:i/>
        </w:rPr>
        <w:t>California v. Hodari D</w:t>
      </w:r>
      <w:r w:rsidRPr="00842D3D">
        <w:rPr>
          <w:rFonts w:eastAsia="Calibri" w:cs="Times New Roman"/>
        </w:rPr>
        <w:t xml:space="preserve">., 499 U.S. 621, 626 (1991); </w:t>
      </w:r>
      <w:r w:rsidRPr="00842D3D">
        <w:rPr>
          <w:rFonts w:eastAsia="Calibri" w:cs="Times New Roman"/>
          <w:i/>
        </w:rPr>
        <w:t>Hill v. City of Fountain Valley</w:t>
      </w:r>
      <w:r w:rsidRPr="00842D3D">
        <w:rPr>
          <w:rFonts w:eastAsia="Calibri" w:cs="Times New Roman"/>
        </w:rPr>
        <w:t>, 70 F.4th 507, 514 (9th Cir. 2023) (“Put another way, if a plaintiff did not comply with an officer’s orders, then the officer did not seize the plaintiff.”).</w:t>
      </w:r>
      <w:r>
        <w:rPr>
          <w:rFonts w:eastAsia="Calibri" w:cs="Times New Roman"/>
        </w:rPr>
        <w:t xml:space="preserve"> </w:t>
      </w:r>
      <w:bookmarkStart w:id="1" w:name="_Hlk221267603"/>
      <w:r>
        <w:rPr>
          <w:rFonts w:eastAsia="Calibri" w:cs="Times New Roman"/>
          <w:i/>
          <w:iCs/>
        </w:rPr>
        <w:t xml:space="preserve">See also </w:t>
      </w:r>
      <w:r w:rsidRPr="00562F1D">
        <w:rPr>
          <w:rFonts w:eastAsia="Calibri" w:cs="Times New Roman"/>
          <w:i/>
          <w:iCs/>
        </w:rPr>
        <w:t>Hawatmeh v. City of Henderson</w:t>
      </w:r>
      <w:r w:rsidRPr="00562F1D">
        <w:rPr>
          <w:rFonts w:eastAsia="Calibri" w:cs="Times New Roman"/>
        </w:rPr>
        <w:t>, 159 F.4th 591 (9th Cir. 2025)</w:t>
      </w:r>
      <w:r>
        <w:rPr>
          <w:rFonts w:eastAsia="Calibri" w:cs="Times New Roman"/>
        </w:rPr>
        <w:t xml:space="preserve"> (dismissing complaint where Plaintiff did not plausibly allege seizure in a specific hostage situation)</w:t>
      </w:r>
      <w:r w:rsidRPr="000751B4">
        <w:rPr>
          <w:rFonts w:eastAsia="Calibri" w:cs="Times New Roman"/>
        </w:rPr>
        <w:t xml:space="preserve">. </w:t>
      </w:r>
      <w:bookmarkEnd w:id="1"/>
    </w:p>
    <w:p w14:paraId="51664EDB" w14:textId="178BB5B8" w:rsidR="00364431" w:rsidRDefault="00364431" w:rsidP="00364431">
      <w:pPr>
        <w:autoSpaceDE w:val="0"/>
        <w:autoSpaceDN w:val="0"/>
        <w:adjustRightInd w:val="0"/>
        <w:rPr>
          <w:rFonts w:eastAsia="Calibri" w:cs="Times New Roman"/>
        </w:rPr>
      </w:pPr>
    </w:p>
    <w:p w14:paraId="05360064" w14:textId="48D5E95C" w:rsidR="00364431" w:rsidRPr="00842D3D" w:rsidRDefault="00364431" w:rsidP="00364431">
      <w:pPr>
        <w:autoSpaceDE w:val="0"/>
        <w:autoSpaceDN w:val="0"/>
        <w:adjustRightInd w:val="0"/>
        <w:ind w:firstLine="720"/>
        <w:rPr>
          <w:rFonts w:eastAsia="Calibri" w:cs="Times New Roman"/>
        </w:rPr>
      </w:pPr>
      <w:r w:rsidRPr="00842D3D">
        <w:rPr>
          <w:rFonts w:eastAsia="Calibri" w:cs="Times New Roman"/>
        </w:rPr>
        <w:t xml:space="preserve">Attempted seizures are not protected by the Fourth Amendment. </w:t>
      </w:r>
      <w:r w:rsidRPr="00842D3D">
        <w:rPr>
          <w:rFonts w:eastAsia="Calibri" w:cs="Times New Roman"/>
          <w:i/>
        </w:rPr>
        <w:t>County of Sacramento v. Lewis</w:t>
      </w:r>
      <w:r w:rsidRPr="00842D3D">
        <w:rPr>
          <w:rFonts w:eastAsia="Calibri" w:cs="Times New Roman"/>
        </w:rPr>
        <w:t>, 523 U.S. 833, 845 n.7 (1998) (“Attempted seizures . . .</w:t>
      </w:r>
      <w:r w:rsidRPr="00842D3D">
        <w:rPr>
          <w:rFonts w:eastAsia="Calibri" w:cs="Times New Roman"/>
          <w:szCs w:val="24"/>
        </w:rPr>
        <w:t xml:space="preserve"> are beyond the scope of the Fourth Amendment.”); </w:t>
      </w:r>
      <w:r w:rsidRPr="00842D3D">
        <w:rPr>
          <w:rFonts w:eastAsia="Calibri" w:cs="Times New Roman"/>
          <w:i/>
          <w:iCs/>
          <w:szCs w:val="24"/>
        </w:rPr>
        <w:t>Cuevas v. City of Tulare</w:t>
      </w:r>
      <w:r w:rsidRPr="00842D3D">
        <w:rPr>
          <w:rFonts w:eastAsia="Calibri" w:cs="Times New Roman"/>
          <w:szCs w:val="24"/>
        </w:rPr>
        <w:t xml:space="preserve">, 107 F.4th 894, 899 (9th Cir. 2024) (holding that a driver was not seized when the driver’s vehicle became stuck in the mud on the roadside as driver attempted to flee a felony stop but was seized when officer put police canine through broken window of vehicle, instructing canine to bite driver, and when officers fired at driver after driver shot the canine and his handler). An “application of force with an objective intent merely to </w:t>
      </w:r>
      <w:r w:rsidRPr="00842D3D">
        <w:rPr>
          <w:rFonts w:eastAsia="Calibri" w:cs="Times New Roman"/>
          <w:i/>
          <w:iCs/>
          <w:szCs w:val="24"/>
        </w:rPr>
        <w:t>disperse or exclude</w:t>
      </w:r>
      <w:r w:rsidRPr="00842D3D">
        <w:rPr>
          <w:rFonts w:eastAsia="Calibri" w:cs="Times New Roman"/>
          <w:szCs w:val="24"/>
        </w:rPr>
        <w:t xml:space="preserve"> persons from an area—and without any measures objectively aimed at detaining or confining them in the process—does not involve the necessary ‘intent to restrain’ that might give rise to a ‘seizure.’” </w:t>
      </w:r>
      <w:r w:rsidRPr="00842D3D">
        <w:rPr>
          <w:rFonts w:eastAsia="Calibri" w:cs="Times New Roman"/>
          <w:i/>
          <w:iCs/>
          <w:szCs w:val="24"/>
        </w:rPr>
        <w:t>Puente v City of Phoenix</w:t>
      </w:r>
      <w:r w:rsidRPr="00842D3D">
        <w:rPr>
          <w:rFonts w:eastAsia="Calibri" w:cs="Times New Roman"/>
          <w:szCs w:val="24"/>
        </w:rPr>
        <w:t xml:space="preserve">, 123 F.4th 1035, 1052 (9th Cir. 2024) (emphasis in original) (holding that the use of chemical irritants to disperse a crowd did not constitute a seizure because there was no basis in the record for concluding that it was undertaken with the necessary objective intent to restrain). </w:t>
      </w:r>
    </w:p>
    <w:p w14:paraId="03B9A205" w14:textId="77777777" w:rsidR="00364431" w:rsidRPr="00842D3D" w:rsidRDefault="00364431" w:rsidP="00364431">
      <w:pPr>
        <w:autoSpaceDE w:val="0"/>
        <w:autoSpaceDN w:val="0"/>
        <w:adjustRightInd w:val="0"/>
        <w:rPr>
          <w:rFonts w:eastAsia="Calibri" w:cs="Times New Roman"/>
        </w:rPr>
      </w:pPr>
    </w:p>
    <w:p w14:paraId="03895B4F" w14:textId="77777777" w:rsidR="00364431" w:rsidRPr="00842D3D" w:rsidRDefault="00364431" w:rsidP="00364431">
      <w:pPr>
        <w:autoSpaceDE w:val="0"/>
        <w:autoSpaceDN w:val="0"/>
        <w:adjustRightInd w:val="0"/>
        <w:rPr>
          <w:rFonts w:eastAsia="Calibri" w:cs="Times New Roman"/>
          <w:i/>
        </w:rPr>
      </w:pPr>
      <w:r w:rsidRPr="00842D3D">
        <w:rPr>
          <w:rFonts w:eastAsia="Calibri" w:cs="Times New Roman"/>
        </w:rPr>
        <w:tab/>
        <w:t xml:space="preserve">In determining whether a reasonable person would have felt free to ignore police presence, the Ninth Circuit considers five factors: “(1) the number of officers; (2) whether weapons were displayed; (3) whether the encounter occurred in a public or nonpublic setting; (4) </w:t>
      </w:r>
      <w:r w:rsidRPr="00842D3D">
        <w:rPr>
          <w:rFonts w:eastAsia="Calibri" w:cs="Times New Roman"/>
        </w:rPr>
        <w:lastRenderedPageBreak/>
        <w:t xml:space="preserve">whether the officer’s officious or authoritative manner would imply that compliance would be compelled; and (5) whether the officers advised the detainee of his right to terminate the encounter.” </w:t>
      </w:r>
      <w:r w:rsidRPr="00842D3D">
        <w:rPr>
          <w:rFonts w:eastAsia="Calibri" w:cs="Times New Roman"/>
          <w:i/>
        </w:rPr>
        <w:t>United States v. Brown</w:t>
      </w:r>
      <w:r w:rsidRPr="00842D3D">
        <w:rPr>
          <w:rFonts w:eastAsia="Calibri" w:cs="Times New Roman"/>
        </w:rPr>
        <w:t xml:space="preserve">, 563 F.3d 410, 415 (9th Cir. 2009) (quoting </w:t>
      </w:r>
      <w:r w:rsidRPr="00842D3D">
        <w:rPr>
          <w:rFonts w:eastAsia="Calibri" w:cs="Times New Roman"/>
          <w:i/>
        </w:rPr>
        <w:t>United States</w:t>
      </w:r>
    </w:p>
    <w:p w14:paraId="47808FBC" w14:textId="77777777" w:rsidR="00364431" w:rsidRPr="00842D3D" w:rsidRDefault="00364431" w:rsidP="00364431">
      <w:pPr>
        <w:autoSpaceDE w:val="0"/>
        <w:autoSpaceDN w:val="0"/>
        <w:adjustRightInd w:val="0"/>
        <w:rPr>
          <w:rFonts w:eastAsia="Calibri" w:cs="Times New Roman"/>
        </w:rPr>
      </w:pPr>
      <w:r w:rsidRPr="00842D3D">
        <w:rPr>
          <w:rFonts w:eastAsia="Calibri" w:cs="Times New Roman"/>
          <w:i/>
        </w:rPr>
        <w:t>v. Washington</w:t>
      </w:r>
      <w:r w:rsidRPr="00842D3D">
        <w:rPr>
          <w:rFonts w:eastAsia="Calibri" w:cs="Times New Roman"/>
        </w:rPr>
        <w:t xml:space="preserve">, 387 F.3d 1060, 1068 (9th Cir. 2004)). In </w:t>
      </w:r>
      <w:r w:rsidRPr="00842D3D">
        <w:rPr>
          <w:rFonts w:eastAsia="Calibri" w:cs="Times New Roman"/>
          <w:i/>
        </w:rPr>
        <w:t>Morgan v. Woessner</w:t>
      </w:r>
      <w:r w:rsidRPr="00842D3D">
        <w:rPr>
          <w:rFonts w:eastAsia="Calibri" w:cs="Times New Roman"/>
        </w:rPr>
        <w:t>, 997 F.2d 1244 (9th Cir. 1993), the Ninth Circuit explained that “stops” under the Fourth Amendment fall into three categories:</w:t>
      </w:r>
    </w:p>
    <w:p w14:paraId="2A16F551" w14:textId="77777777" w:rsidR="00364431" w:rsidRPr="00842D3D" w:rsidRDefault="00364431" w:rsidP="00364431">
      <w:pPr>
        <w:autoSpaceDE w:val="0"/>
        <w:autoSpaceDN w:val="0"/>
        <w:adjustRightInd w:val="0"/>
        <w:rPr>
          <w:rFonts w:eastAsia="Calibri" w:cs="Times New Roman"/>
        </w:rPr>
      </w:pPr>
    </w:p>
    <w:p w14:paraId="4DCDEBFB" w14:textId="77777777" w:rsidR="00364431" w:rsidRPr="00842D3D" w:rsidRDefault="00364431" w:rsidP="00364431">
      <w:pPr>
        <w:autoSpaceDE w:val="0"/>
        <w:autoSpaceDN w:val="0"/>
        <w:adjustRightInd w:val="0"/>
        <w:ind w:left="720" w:right="720"/>
        <w:jc w:val="both"/>
        <w:rPr>
          <w:rFonts w:eastAsia="Calibri" w:cs="Times New Roman"/>
        </w:rPr>
      </w:pPr>
      <w:r w:rsidRPr="00842D3D">
        <w:rPr>
          <w:rFonts w:eastAsia="Calibri" w:cs="Times New Roman"/>
        </w:rPr>
        <w:t>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be supported by “reasonable suspicion.” Finally, police stops may be full-scale arrests. These stops, of course, are seizures, and must be supported by probable cause.</w:t>
      </w:r>
    </w:p>
    <w:p w14:paraId="6FE2E7EE" w14:textId="77777777" w:rsidR="00364431" w:rsidRPr="00842D3D" w:rsidRDefault="00364431" w:rsidP="00364431">
      <w:pPr>
        <w:autoSpaceDE w:val="0"/>
        <w:autoSpaceDN w:val="0"/>
        <w:adjustRightInd w:val="0"/>
        <w:ind w:right="720"/>
        <w:rPr>
          <w:rFonts w:eastAsia="Calibri" w:cs="Times New Roman"/>
        </w:rPr>
      </w:pPr>
    </w:p>
    <w:p w14:paraId="6EE876F1" w14:textId="77777777" w:rsidR="00364431" w:rsidRPr="00842D3D" w:rsidRDefault="00364431" w:rsidP="00364431">
      <w:pPr>
        <w:autoSpaceDE w:val="0"/>
        <w:autoSpaceDN w:val="0"/>
        <w:adjustRightInd w:val="0"/>
        <w:rPr>
          <w:rFonts w:eastAsia="Calibri" w:cs="Times New Roman"/>
        </w:rPr>
      </w:pPr>
      <w:r w:rsidRPr="00842D3D">
        <w:rPr>
          <w:rFonts w:eastAsia="Calibri" w:cs="Times New Roman"/>
          <w:i/>
        </w:rPr>
        <w:t>Id.</w:t>
      </w:r>
      <w:r w:rsidRPr="00842D3D">
        <w:rPr>
          <w:rFonts w:eastAsia="Calibri" w:cs="Times New Roman"/>
        </w:rPr>
        <w:t xml:space="preserve"> at 1252 (citations omitted).</w:t>
      </w:r>
    </w:p>
    <w:p w14:paraId="6727E187" w14:textId="77777777" w:rsidR="00364431" w:rsidRPr="00842D3D" w:rsidRDefault="00364431" w:rsidP="00364431">
      <w:pPr>
        <w:autoSpaceDE w:val="0"/>
        <w:autoSpaceDN w:val="0"/>
        <w:adjustRightInd w:val="0"/>
        <w:rPr>
          <w:rFonts w:eastAsia="Calibri" w:cs="Times New Roman"/>
        </w:rPr>
      </w:pPr>
    </w:p>
    <w:p w14:paraId="0003DA21" w14:textId="77777777" w:rsidR="00364431" w:rsidRPr="00842D3D" w:rsidRDefault="00364431" w:rsidP="00364431">
      <w:pPr>
        <w:autoSpaceDE w:val="0"/>
        <w:autoSpaceDN w:val="0"/>
        <w:adjustRightInd w:val="0"/>
        <w:rPr>
          <w:rFonts w:eastAsia="Calibri" w:cs="Times New Roman"/>
        </w:rPr>
      </w:pPr>
      <w:r w:rsidRPr="00842D3D">
        <w:rPr>
          <w:rFonts w:eastAsia="Calibri" w:cs="Times New Roman"/>
        </w:rPr>
        <w:tab/>
        <w:t xml:space="preserve">Section 1983 “contains no state-of-mind requirement independent of that necessary to state a violation of the underlying constitutional right.” </w:t>
      </w:r>
      <w:r w:rsidRPr="00842D3D">
        <w:rPr>
          <w:rFonts w:eastAsia="Calibri" w:cs="Times New Roman"/>
          <w:i/>
        </w:rPr>
        <w:t>OSU Student All. v. Ray</w:t>
      </w:r>
      <w:r w:rsidRPr="00842D3D">
        <w:rPr>
          <w:rFonts w:eastAsia="Calibri" w:cs="Times New Roman"/>
        </w:rPr>
        <w:t xml:space="preserve">, 699 F.3d 1053, 1071-72 (9th Cir. 2012) (citing </w:t>
      </w:r>
      <w:r w:rsidRPr="00842D3D">
        <w:rPr>
          <w:rFonts w:eastAsia="Calibri" w:cs="Times New Roman"/>
          <w:i/>
        </w:rPr>
        <w:t>Daniels v. Williams</w:t>
      </w:r>
      <w:r w:rsidRPr="00842D3D">
        <w:rPr>
          <w:rFonts w:eastAsia="Calibri" w:cs="Times New Roman"/>
        </w:rPr>
        <w:t xml:space="preserve">, 474 U.S. 327, 328 (1986)). It is well settled that “negligent acts do not incur constitutional liability.” </w:t>
      </w:r>
      <w:r w:rsidRPr="00842D3D">
        <w:rPr>
          <w:rFonts w:eastAsia="Calibri" w:cs="Times New Roman"/>
          <w:i/>
        </w:rPr>
        <w:t>Billington v. Smith</w:t>
      </w:r>
      <w:r w:rsidRPr="00842D3D">
        <w:rPr>
          <w:rFonts w:eastAsia="Calibri" w:cs="Times New Roman"/>
        </w:rPr>
        <w:t xml:space="preserve">, 292 F.3d 1177, 1190 (9th Cir. 2002), </w:t>
      </w:r>
      <w:r w:rsidRPr="00842D3D">
        <w:rPr>
          <w:rFonts w:eastAsia="Calibri" w:cs="Times New Roman"/>
          <w:i/>
        </w:rPr>
        <w:t>abrogated on other grounds by County of Los Angeles v. Mendez</w:t>
      </w:r>
      <w:r w:rsidRPr="00842D3D">
        <w:rPr>
          <w:rFonts w:eastAsia="Calibri" w:cs="Times New Roman"/>
        </w:rPr>
        <w:t xml:space="preserve">, 581 U.S. 420 (2017). Specific intent to violate a person’s rights “is not a prerequisite to liability under § 1983.” </w:t>
      </w:r>
      <w:r w:rsidRPr="00842D3D">
        <w:rPr>
          <w:rFonts w:eastAsia="Calibri" w:cs="Times New Roman"/>
          <w:i/>
        </w:rPr>
        <w:t>Caballero v. City of Concord</w:t>
      </w:r>
      <w:r w:rsidRPr="00842D3D">
        <w:rPr>
          <w:rFonts w:eastAsia="Calibri" w:cs="Times New Roman"/>
        </w:rPr>
        <w:t xml:space="preserve">, 956 F.2d 204, 206 (9th Cir. 1992) (holding the district court erred in instructing the jury that, to prevail on his § 1983 claim for false arrest, the plaintiff was required to show that the defendant specifically intended to deprive him of his constitutional rights). </w:t>
      </w:r>
    </w:p>
    <w:p w14:paraId="2ED3CE8D" w14:textId="77777777" w:rsidR="00364431" w:rsidRPr="00842D3D" w:rsidRDefault="00364431" w:rsidP="00364431">
      <w:pPr>
        <w:autoSpaceDE w:val="0"/>
        <w:autoSpaceDN w:val="0"/>
        <w:adjustRightInd w:val="0"/>
        <w:rPr>
          <w:rFonts w:eastAsia="Calibri" w:cs="Times New Roman"/>
        </w:rPr>
      </w:pPr>
    </w:p>
    <w:p w14:paraId="0EA7B14C" w14:textId="77777777" w:rsidR="00364431" w:rsidRPr="00842D3D" w:rsidRDefault="00364431" w:rsidP="00364431">
      <w:pPr>
        <w:spacing w:line="247" w:lineRule="auto"/>
        <w:ind w:left="100" w:right="206" w:firstLine="720"/>
        <w:rPr>
          <w:rFonts w:eastAsia="Calibri" w:cs="Times New Roman"/>
        </w:rPr>
      </w:pPr>
      <w:r w:rsidRPr="00842D3D">
        <w:rPr>
          <w:rFonts w:eastAsia="Calibri" w:cs="Times New Roman"/>
        </w:rPr>
        <w:t xml:space="preserve">In a school setting, however, “while the traditional Fourth Amendment analysis ‘is predominantly an objective inquiry,’ the ‘actual motivations’ of officers may be considered when applying the special needs” exception to the warrant and probable cause requirements of the Fourth Amendment. </w:t>
      </w:r>
      <w:r w:rsidRPr="00842D3D">
        <w:rPr>
          <w:rFonts w:eastAsia="Calibri" w:cs="Times New Roman"/>
          <w:i/>
        </w:rPr>
        <w:t>Scott v. City of San Bernardino</w:t>
      </w:r>
      <w:r w:rsidRPr="00842D3D">
        <w:rPr>
          <w:rFonts w:eastAsia="Calibri" w:cs="Times New Roman"/>
        </w:rPr>
        <w:t>, 903 F.3d 943, 949 (9th Cir. 2018) (affirming summary judgment in favor of</w:t>
      </w:r>
      <w:r w:rsidRPr="00842D3D">
        <w:rPr>
          <w:rFonts w:eastAsia="Calibri" w:cs="Times New Roman"/>
          <w:szCs w:val="24"/>
        </w:rPr>
        <w:t xml:space="preserve"> the</w:t>
      </w:r>
      <w:r w:rsidRPr="00842D3D">
        <w:rPr>
          <w:rFonts w:eastAsia="Calibri" w:cs="Times New Roman"/>
        </w:rPr>
        <w:t xml:space="preserve"> plaintiff middle school students unreasonably arrested without probable cause). A Fourth Amendment seizure of a bystander can occur when officers intentionally use force that injures the bystander. </w:t>
      </w:r>
      <w:r w:rsidRPr="00842D3D">
        <w:rPr>
          <w:rFonts w:eastAsia="Calibri" w:cs="Times New Roman"/>
          <w:i/>
        </w:rPr>
        <w:t>Villanueva v. California</w:t>
      </w:r>
      <w:r w:rsidRPr="00842D3D">
        <w:rPr>
          <w:rFonts w:eastAsia="Calibri" w:cs="Times New Roman"/>
        </w:rPr>
        <w:t xml:space="preserve">, 986 F.3d 1158, 1168 (9th Cir. 2021) (citing </w:t>
      </w:r>
      <w:r w:rsidRPr="00842D3D">
        <w:rPr>
          <w:rFonts w:eastAsia="Calibri" w:cs="Times New Roman"/>
          <w:i/>
        </w:rPr>
        <w:t>Nelson v. City of Davis</w:t>
      </w:r>
      <w:r w:rsidRPr="00842D3D">
        <w:rPr>
          <w:rFonts w:eastAsia="Calibri" w:cs="Times New Roman"/>
        </w:rPr>
        <w:t>, 685 F.3d 867, 876 (9th Cir. 2012)).</w:t>
      </w:r>
    </w:p>
    <w:p w14:paraId="52496924" w14:textId="77777777" w:rsidR="00364431" w:rsidRPr="00842D3D" w:rsidRDefault="00364431" w:rsidP="00364431">
      <w:pPr>
        <w:autoSpaceDE w:val="0"/>
        <w:autoSpaceDN w:val="0"/>
        <w:adjustRightInd w:val="0"/>
        <w:rPr>
          <w:rFonts w:eastAsia="Calibri" w:cs="Times New Roman"/>
        </w:rPr>
      </w:pPr>
    </w:p>
    <w:p w14:paraId="655378EF" w14:textId="77777777" w:rsidR="00364431" w:rsidRPr="00842D3D" w:rsidRDefault="00364431" w:rsidP="00364431">
      <w:pPr>
        <w:autoSpaceDE w:val="0"/>
        <w:autoSpaceDN w:val="0"/>
        <w:adjustRightInd w:val="0"/>
        <w:ind w:firstLine="720"/>
        <w:rPr>
          <w:rFonts w:eastAsia="Calibri" w:cs="Times New Roman"/>
        </w:rPr>
      </w:pPr>
      <w:r w:rsidRPr="00842D3D">
        <w:rPr>
          <w:rFonts w:eastAsia="Calibri" w:cs="Times New Roman"/>
        </w:rPr>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842D3D">
        <w:rPr>
          <w:rFonts w:eastAsia="Calibri" w:cs="Times New Roman"/>
          <w:i/>
        </w:rPr>
        <w:t>See, e.g.</w:t>
      </w:r>
      <w:r w:rsidRPr="00842D3D">
        <w:rPr>
          <w:rFonts w:eastAsia="Calibri" w:cs="Times New Roman"/>
          <w:iCs/>
        </w:rPr>
        <w:t>,</w:t>
      </w:r>
      <w:r w:rsidRPr="00842D3D">
        <w:rPr>
          <w:rFonts w:eastAsia="Calibri" w:cs="Times New Roman"/>
          <w:i/>
        </w:rPr>
        <w:t xml:space="preserve"> Kirkpatrick v. County of Washoe</w:t>
      </w:r>
      <w:r w:rsidRPr="00842D3D">
        <w:rPr>
          <w:rFonts w:eastAsia="Calibri" w:cs="Times New Roman"/>
        </w:rPr>
        <w:t>, 843 F.3d 784, 790-91 (9th Cir. 2016) (</w:t>
      </w:r>
      <w:proofErr w:type="spellStart"/>
      <w:r w:rsidRPr="00842D3D">
        <w:rPr>
          <w:rFonts w:eastAsia="Calibri" w:cs="Times New Roman"/>
        </w:rPr>
        <w:t>en</w:t>
      </w:r>
      <w:proofErr w:type="spellEnd"/>
      <w:r w:rsidRPr="00842D3D">
        <w:rPr>
          <w:rFonts w:eastAsia="Calibri" w:cs="Times New Roman"/>
        </w:rPr>
        <w:t xml:space="preserve"> banc) (holding that a government official may take child away from parents’ home without judicial authorization only “when officials have reasonable cause to believe that the child is likely to experience serious bodily harm in the time that would be required to obtain a warrant”); </w:t>
      </w:r>
      <w:r w:rsidRPr="00842D3D">
        <w:rPr>
          <w:rFonts w:eastAsia="Calibri" w:cs="Times New Roman"/>
          <w:i/>
        </w:rPr>
        <w:t>see also Demaree v. Pederson</w:t>
      </w:r>
      <w:r w:rsidRPr="00842D3D">
        <w:rPr>
          <w:rFonts w:eastAsia="Calibri" w:cs="Times New Roman"/>
        </w:rPr>
        <w:t xml:space="preserve">, 887 F.3d 870, 878 </w:t>
      </w:r>
      <w:r w:rsidRPr="00842D3D">
        <w:rPr>
          <w:rFonts w:eastAsia="Calibri" w:cs="Times New Roman"/>
        </w:rPr>
        <w:lastRenderedPageBreak/>
        <w:t xml:space="preserve">(9th Cir. 2018) (“There are narrow circumstances in which the government may constitutionally remove children from their families temporarily without judicial authorization.”); </w:t>
      </w:r>
      <w:r w:rsidRPr="00842D3D">
        <w:rPr>
          <w:rFonts w:eastAsia="Calibri" w:cs="Times New Roman"/>
          <w:i/>
        </w:rPr>
        <w:t>Rogers v. County of San Joaquin</w:t>
      </w:r>
      <w:r w:rsidRPr="00842D3D">
        <w:rPr>
          <w:rFonts w:eastAsia="Calibri" w:cs="Times New Roman"/>
        </w:rPr>
        <w:t>, 487 F.3d 1288, 1294 (9th Cir. 2007) (stating</w:t>
      </w:r>
      <w:r w:rsidRPr="00842D3D">
        <w:rPr>
          <w:rFonts w:eastAsia="Calibri" w:cs="Times New Roman"/>
          <w:szCs w:val="24"/>
        </w:rPr>
        <w:t xml:space="preserve"> the</w:t>
      </w:r>
      <w:r w:rsidRPr="00842D3D">
        <w:rPr>
          <w:rFonts w:eastAsia="Calibri" w:cs="Times New Roman"/>
        </w:rPr>
        <w:t xml:space="preserve"> facts did not support an imminent risk of serious bodily harm, and therefore, a warrant was required). </w:t>
      </w:r>
    </w:p>
    <w:p w14:paraId="4E534BBB" w14:textId="77777777" w:rsidR="00364431" w:rsidRPr="00842D3D" w:rsidRDefault="00364431" w:rsidP="00364431">
      <w:pPr>
        <w:autoSpaceDE w:val="0"/>
        <w:autoSpaceDN w:val="0"/>
        <w:adjustRightInd w:val="0"/>
        <w:ind w:firstLine="720"/>
        <w:rPr>
          <w:rFonts w:eastAsia="Calibri" w:cs="Times New Roman"/>
        </w:rPr>
      </w:pPr>
    </w:p>
    <w:p w14:paraId="6C8D15C7" w14:textId="77777777" w:rsidR="00364431" w:rsidRPr="00842D3D" w:rsidRDefault="00364431" w:rsidP="00364431">
      <w:pPr>
        <w:autoSpaceDE w:val="0"/>
        <w:autoSpaceDN w:val="0"/>
        <w:adjustRightInd w:val="0"/>
        <w:ind w:firstLine="720"/>
        <w:rPr>
          <w:rFonts w:eastAsia="Calibri" w:cs="Times New Roman"/>
        </w:rPr>
      </w:pPr>
      <w:r w:rsidRPr="00842D3D">
        <w:rPr>
          <w:rFonts w:eastAsia="Calibri" w:cs="Times New Roman"/>
        </w:rPr>
        <w:t xml:space="preserve">A parent may also be able to assert a Fourteenth Amendment claim in such circumstances for interference with the parent–child relationship. </w:t>
      </w:r>
      <w:r w:rsidRPr="00842D3D">
        <w:rPr>
          <w:rFonts w:eastAsia="Calibri" w:cs="Times New Roman"/>
          <w:i/>
        </w:rPr>
        <w:t>See</w:t>
      </w:r>
      <w:r w:rsidRPr="00842D3D">
        <w:rPr>
          <w:rFonts w:eastAsia="Calibri" w:cs="Times New Roman"/>
        </w:rPr>
        <w:t xml:space="preserve"> Instruction 9.3</w:t>
      </w:r>
      <w:r>
        <w:rPr>
          <w:rFonts w:eastAsia="Calibri" w:cs="Times New Roman"/>
        </w:rPr>
        <w:t>6</w:t>
      </w:r>
      <w:r w:rsidRPr="00842D3D">
        <w:rPr>
          <w:rFonts w:eastAsia="Calibri" w:cs="Times New Roman"/>
        </w:rPr>
        <w:t xml:space="preserve"> (Particular Rights—Fourteenth Amendment—Due Process—Interference with Parent/Child Relationship).</w:t>
      </w:r>
    </w:p>
    <w:p w14:paraId="7B89731E" w14:textId="77777777" w:rsidR="00364431" w:rsidRPr="00842D3D" w:rsidRDefault="00364431" w:rsidP="00364431">
      <w:pPr>
        <w:autoSpaceDE w:val="0"/>
        <w:autoSpaceDN w:val="0"/>
        <w:adjustRightInd w:val="0"/>
        <w:rPr>
          <w:rFonts w:eastAsia="Calibri" w:cs="Times New Roman"/>
        </w:rPr>
      </w:pPr>
    </w:p>
    <w:p w14:paraId="6312419A" w14:textId="77777777" w:rsidR="00364431" w:rsidRPr="00842D3D" w:rsidRDefault="00364431" w:rsidP="00364431">
      <w:pPr>
        <w:autoSpaceDE w:val="0"/>
        <w:autoSpaceDN w:val="0"/>
        <w:adjustRightInd w:val="0"/>
        <w:ind w:firstLine="720"/>
        <w:rPr>
          <w:rFonts w:eastAsia="Calibri" w:cs="Times New Roman"/>
        </w:rPr>
      </w:pPr>
      <w:r w:rsidRPr="00842D3D">
        <w:rPr>
          <w:rFonts w:eastAsia="Calibri" w:cs="Times New Roman"/>
        </w:rPr>
        <w:t xml:space="preserve">If the court </w:t>
      </w:r>
      <w:proofErr w:type="gramStart"/>
      <w:r w:rsidRPr="00842D3D">
        <w:rPr>
          <w:rFonts w:eastAsia="Calibri" w:cs="Times New Roman"/>
        </w:rPr>
        <w:t>is able to</w:t>
      </w:r>
      <w:proofErr w:type="gramEnd"/>
      <w:r w:rsidRPr="00842D3D">
        <w:rPr>
          <w:rFonts w:eastAsia="Calibri" w:cs="Times New Roman"/>
        </w:rPr>
        <w:t xml:space="preserve"> determine as a matter of law that the plaintiff was seized, the Committee recommends the court instruct the jury accordingly and omit the portions of this instruction that define a seizure.</w:t>
      </w:r>
    </w:p>
    <w:p w14:paraId="4E6BACF3" w14:textId="77777777" w:rsidR="00364431" w:rsidRPr="00842D3D" w:rsidRDefault="00364431" w:rsidP="00364431">
      <w:pPr>
        <w:autoSpaceDE w:val="0"/>
        <w:autoSpaceDN w:val="0"/>
        <w:adjustRightInd w:val="0"/>
        <w:rPr>
          <w:rFonts w:eastAsia="Calibri" w:cs="Times New Roman"/>
        </w:rPr>
      </w:pPr>
    </w:p>
    <w:p w14:paraId="13D6D7B9" w14:textId="5B48DDFB" w:rsidR="00364431" w:rsidRPr="00842D3D" w:rsidRDefault="00364431" w:rsidP="00364431">
      <w:pPr>
        <w:jc w:val="right"/>
        <w:rPr>
          <w:rFonts w:eastAsia="Calibri" w:cs="Times New Roman"/>
        </w:rPr>
      </w:pPr>
      <w:bookmarkStart w:id="2" w:name="_Hlk221267622"/>
      <w:r w:rsidRPr="00842D3D">
        <w:rPr>
          <w:rFonts w:eastAsia="Calibri" w:cs="Times New Roman"/>
          <w:i/>
          <w:iCs/>
          <w:szCs w:val="24"/>
        </w:rPr>
        <w:t xml:space="preserve">Revised </w:t>
      </w:r>
      <w:r>
        <w:rPr>
          <w:rFonts w:eastAsia="Calibri" w:cs="Times New Roman"/>
          <w:i/>
          <w:iCs/>
          <w:szCs w:val="24"/>
        </w:rPr>
        <w:t>December</w:t>
      </w:r>
      <w:r w:rsidRPr="00842D3D">
        <w:rPr>
          <w:rFonts w:eastAsia="Calibri" w:cs="Times New Roman"/>
          <w:i/>
          <w:iCs/>
          <w:szCs w:val="24"/>
        </w:rPr>
        <w:t xml:space="preserve"> 2025</w:t>
      </w:r>
    </w:p>
    <w:bookmarkEnd w:id="2"/>
    <w:p w14:paraId="4907AE3A"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31"/>
    <w:rsid w:val="00147419"/>
    <w:rsid w:val="001538F9"/>
    <w:rsid w:val="00364431"/>
    <w:rsid w:val="0042339F"/>
    <w:rsid w:val="006D3AA0"/>
    <w:rsid w:val="007E0761"/>
    <w:rsid w:val="009624E7"/>
    <w:rsid w:val="00B951E2"/>
    <w:rsid w:val="00C36D00"/>
    <w:rsid w:val="00D04691"/>
    <w:rsid w:val="00D5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682B"/>
  <w15:chartTrackingRefBased/>
  <w15:docId w15:val="{74E08202-FB1E-4215-9E60-8DC2F340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31"/>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3644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44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443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443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6443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6443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6443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6443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6443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431"/>
    <w:rPr>
      <w:rFonts w:eastAsiaTheme="majorEastAsia" w:cstheme="majorBidi"/>
      <w:color w:val="272727" w:themeColor="text1" w:themeTint="D8"/>
    </w:rPr>
  </w:style>
  <w:style w:type="paragraph" w:styleId="Title">
    <w:name w:val="Title"/>
    <w:basedOn w:val="Normal"/>
    <w:next w:val="Normal"/>
    <w:link w:val="TitleChar"/>
    <w:uiPriority w:val="10"/>
    <w:qFormat/>
    <w:rsid w:val="0036443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4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43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4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431"/>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64431"/>
    <w:rPr>
      <w:i/>
      <w:iCs/>
      <w:color w:val="404040" w:themeColor="text1" w:themeTint="BF"/>
    </w:rPr>
  </w:style>
  <w:style w:type="paragraph" w:styleId="ListParagraph">
    <w:name w:val="List Paragraph"/>
    <w:basedOn w:val="Normal"/>
    <w:uiPriority w:val="34"/>
    <w:qFormat/>
    <w:rsid w:val="00364431"/>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364431"/>
    <w:rPr>
      <w:i/>
      <w:iCs/>
      <w:color w:val="0F4761" w:themeColor="accent1" w:themeShade="BF"/>
    </w:rPr>
  </w:style>
  <w:style w:type="paragraph" w:styleId="IntenseQuote">
    <w:name w:val="Intense Quote"/>
    <w:basedOn w:val="Normal"/>
    <w:next w:val="Normal"/>
    <w:link w:val="IntenseQuoteChar"/>
    <w:uiPriority w:val="30"/>
    <w:qFormat/>
    <w:rsid w:val="003644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64431"/>
    <w:rPr>
      <w:i/>
      <w:iCs/>
      <w:color w:val="0F4761" w:themeColor="accent1" w:themeShade="BF"/>
    </w:rPr>
  </w:style>
  <w:style w:type="character" w:styleId="IntenseReference">
    <w:name w:val="Intense Reference"/>
    <w:basedOn w:val="DefaultParagraphFont"/>
    <w:uiPriority w:val="32"/>
    <w:qFormat/>
    <w:rsid w:val="00364431"/>
    <w:rPr>
      <w:b/>
      <w:bCs/>
      <w:smallCaps/>
      <w:color w:val="0F4761" w:themeColor="accent1" w:themeShade="BF"/>
      <w:spacing w:val="5"/>
    </w:rPr>
  </w:style>
  <w:style w:type="paragraph" w:styleId="Revision">
    <w:name w:val="Revision"/>
    <w:hidden/>
    <w:uiPriority w:val="99"/>
    <w:semiHidden/>
    <w:rsid w:val="00364431"/>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2076</Words>
  <Characters>11836</Characters>
  <Application>Microsoft Office Word</Application>
  <DocSecurity>0</DocSecurity>
  <Lines>98</Lines>
  <Paragraphs>27</Paragraphs>
  <ScaleCrop>false</ScaleCrop>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2026-02-03T16:01:00Z</dcterms:created>
  <dcterms:modified xsi:type="dcterms:W3CDTF">2026-02-06T18:53:00Z</dcterms:modified>
</cp:coreProperties>
</file>