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245EA" w14:textId="2B927DBF" w:rsidR="00547BD9" w:rsidRPr="004913BA" w:rsidRDefault="00547BD9" w:rsidP="00547BD9">
      <w:pPr>
        <w:pStyle w:val="Heading1"/>
      </w:pPr>
      <w:bookmarkStart w:id="0" w:name="_Toc167357267"/>
      <w:bookmarkStart w:id="1" w:name="_Toc184822662"/>
      <w:r w:rsidRPr="004913BA">
        <w:t>9.2</w:t>
      </w:r>
      <w:r w:rsidR="00E90163">
        <w:t>3</w:t>
      </w:r>
      <w:r w:rsidRPr="00471D17">
        <w:t xml:space="preserve"> </w:t>
      </w:r>
      <w:r w:rsidRPr="004913BA">
        <w:t>Particular Rights—Fourth Amendment—Unreasonable Seizure of Person—Exception to Warrant Requirement—</w:t>
      </w:r>
      <w:r w:rsidRPr="004913BA">
        <w:rPr>
          <w:i/>
        </w:rPr>
        <w:t xml:space="preserve">Terry </w:t>
      </w:r>
      <w:r w:rsidRPr="004913BA">
        <w:t>Stop</w:t>
      </w:r>
      <w:bookmarkEnd w:id="0"/>
      <w:bookmarkEnd w:id="1"/>
    </w:p>
    <w:p w14:paraId="5680E0A6" w14:textId="77777777" w:rsidR="00547BD9" w:rsidRPr="004913BA" w:rsidRDefault="00547BD9" w:rsidP="00547BD9">
      <w:pPr>
        <w:autoSpaceDE w:val="0"/>
        <w:autoSpaceDN w:val="0"/>
        <w:adjustRightInd w:val="0"/>
      </w:pPr>
    </w:p>
    <w:p w14:paraId="3D6CFF25" w14:textId="77777777" w:rsidR="00E90163" w:rsidRPr="00842D3D" w:rsidRDefault="00E90163" w:rsidP="00E90163">
      <w:pPr>
        <w:autoSpaceDE w:val="0"/>
        <w:autoSpaceDN w:val="0"/>
        <w:adjustRightInd w:val="0"/>
        <w:rPr>
          <w:rFonts w:eastAsia="Calibri" w:cs="Times New Roman"/>
          <w:szCs w:val="24"/>
        </w:rPr>
      </w:pPr>
      <w:r w:rsidRPr="00842D3D">
        <w:rPr>
          <w:rFonts w:eastAsia="Calibri" w:cs="Times New Roman"/>
          <w:szCs w:val="24"/>
        </w:rPr>
        <w:tab/>
        <w:t>In general, a seizure of a person for an investigatory stop is reasonable if, under all of the circumstances known to the officer[s] at the time:</w:t>
      </w:r>
    </w:p>
    <w:p w14:paraId="1984F780" w14:textId="77777777" w:rsidR="00E90163" w:rsidRPr="00842D3D" w:rsidRDefault="00E90163" w:rsidP="00E90163">
      <w:pPr>
        <w:autoSpaceDE w:val="0"/>
        <w:autoSpaceDN w:val="0"/>
        <w:adjustRightInd w:val="0"/>
        <w:rPr>
          <w:rFonts w:eastAsia="Calibri" w:cs="Times New Roman"/>
          <w:szCs w:val="24"/>
        </w:rPr>
      </w:pPr>
    </w:p>
    <w:p w14:paraId="1D17A0CD" w14:textId="77777777" w:rsidR="00E90163" w:rsidRPr="00842D3D" w:rsidRDefault="00E90163" w:rsidP="00E90163">
      <w:pPr>
        <w:tabs>
          <w:tab w:val="left" w:pos="990"/>
          <w:tab w:val="left" w:pos="1170"/>
        </w:tabs>
        <w:autoSpaceDE w:val="0"/>
        <w:autoSpaceDN w:val="0"/>
        <w:adjustRightInd w:val="0"/>
        <w:ind w:left="720"/>
        <w:rPr>
          <w:rFonts w:eastAsia="Calibri" w:cs="Times New Roman"/>
          <w:szCs w:val="24"/>
        </w:rPr>
      </w:pPr>
      <w:r w:rsidRPr="00842D3D">
        <w:rPr>
          <w:rFonts w:eastAsia="Calibri" w:cs="Times New Roman"/>
          <w:szCs w:val="24"/>
        </w:rPr>
        <w:t>(1)</w:t>
      </w:r>
      <w:r w:rsidRPr="00842D3D" w:rsidDel="001403E0">
        <w:rPr>
          <w:rFonts w:eastAsia="Calibri" w:cs="Times New Roman"/>
          <w:szCs w:val="24"/>
        </w:rPr>
        <w:t xml:space="preserve"> </w:t>
      </w:r>
      <w:r w:rsidRPr="00842D3D">
        <w:rPr>
          <w:rFonts w:eastAsia="Calibri" w:cs="Times New Roman"/>
          <w:szCs w:val="24"/>
        </w:rPr>
        <w:t>the officer[s] had a reasonable suspicion that the person seized was engaged in [criminal activity] [</w:t>
      </w:r>
      <w:r w:rsidRPr="00842D3D">
        <w:rPr>
          <w:rFonts w:eastAsia="Calibri" w:cs="Times New Roman"/>
          <w:i/>
          <w:szCs w:val="24"/>
          <w:u w:val="single"/>
        </w:rPr>
        <w:t>other conduct justifying investigation, e.g., a traffic infraction</w:t>
      </w:r>
      <w:r w:rsidRPr="00842D3D">
        <w:rPr>
          <w:rFonts w:eastAsia="Calibri" w:cs="Times New Roman"/>
          <w:szCs w:val="24"/>
        </w:rPr>
        <w:t>]; and</w:t>
      </w:r>
    </w:p>
    <w:p w14:paraId="2E808DE6" w14:textId="77777777" w:rsidR="00E90163" w:rsidRPr="00842D3D" w:rsidRDefault="00E90163" w:rsidP="00E90163">
      <w:pPr>
        <w:autoSpaceDE w:val="0"/>
        <w:autoSpaceDN w:val="0"/>
        <w:adjustRightInd w:val="0"/>
        <w:ind w:left="720"/>
        <w:rPr>
          <w:rFonts w:eastAsia="Calibri" w:cs="Times New Roman"/>
          <w:szCs w:val="24"/>
        </w:rPr>
      </w:pP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p>
    <w:p w14:paraId="14D07797" w14:textId="77777777" w:rsidR="00E90163" w:rsidRPr="00842D3D" w:rsidRDefault="00E90163" w:rsidP="00E90163">
      <w:pPr>
        <w:tabs>
          <w:tab w:val="left" w:pos="720"/>
          <w:tab w:val="left" w:pos="1440"/>
        </w:tabs>
        <w:autoSpaceDE w:val="0"/>
        <w:autoSpaceDN w:val="0"/>
        <w:adjustRightInd w:val="0"/>
        <w:ind w:left="720"/>
        <w:rPr>
          <w:rFonts w:eastAsia="Calibri" w:cs="Times New Roman"/>
          <w:szCs w:val="24"/>
        </w:rPr>
      </w:pPr>
      <w:r w:rsidRPr="00842D3D">
        <w:rPr>
          <w:rFonts w:eastAsia="Calibri" w:cs="Times New Roman"/>
          <w:szCs w:val="24"/>
        </w:rPr>
        <w:t>(2) the length and scope of the seizure was reasonable.</w:t>
      </w:r>
    </w:p>
    <w:p w14:paraId="1C8896D4" w14:textId="77777777" w:rsidR="00E90163" w:rsidRPr="00842D3D" w:rsidRDefault="00E90163" w:rsidP="00E90163">
      <w:pPr>
        <w:autoSpaceDE w:val="0"/>
        <w:autoSpaceDN w:val="0"/>
        <w:adjustRightInd w:val="0"/>
        <w:rPr>
          <w:rFonts w:eastAsia="Calibri" w:cs="Times New Roman"/>
          <w:szCs w:val="24"/>
        </w:rPr>
      </w:pPr>
    </w:p>
    <w:p w14:paraId="3F0EF49E" w14:textId="77777777" w:rsidR="00E90163" w:rsidRPr="00842D3D" w:rsidRDefault="00E90163" w:rsidP="00E90163">
      <w:pPr>
        <w:autoSpaceDE w:val="0"/>
        <w:autoSpaceDN w:val="0"/>
        <w:adjustRightInd w:val="0"/>
        <w:rPr>
          <w:rFonts w:eastAsia="Calibri" w:cs="Times New Roman"/>
          <w:szCs w:val="24"/>
        </w:rPr>
      </w:pPr>
      <w:r w:rsidRPr="00842D3D">
        <w:rPr>
          <w:rFonts w:eastAsia="Calibri" w:cs="Times New Roman"/>
          <w:szCs w:val="24"/>
        </w:rPr>
        <w:tab/>
        <w:t>To prove the seizure in this case was unreasonable,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by a preponderance of the evidence that the officer[s] lacked reasonable suspicion to stop [him] [her] [</w:t>
      </w:r>
      <w:r w:rsidRPr="00842D3D">
        <w:rPr>
          <w:rFonts w:eastAsia="Calibri" w:cs="Times New Roman"/>
          <w:i/>
          <w:iCs/>
          <w:szCs w:val="24"/>
          <w:u w:val="single"/>
        </w:rPr>
        <w:t>other pronoun</w:t>
      </w:r>
      <w:r w:rsidRPr="00842D3D">
        <w:rPr>
          <w:rFonts w:eastAsia="Calibri" w:cs="Times New Roman"/>
          <w:szCs w:val="24"/>
        </w:rPr>
        <w:t>] or that the length or scope of the stop was excessive.</w:t>
      </w:r>
    </w:p>
    <w:p w14:paraId="3BCB34AE" w14:textId="77777777" w:rsidR="00E90163" w:rsidRPr="00842D3D" w:rsidRDefault="00E90163" w:rsidP="00E90163">
      <w:pPr>
        <w:autoSpaceDE w:val="0"/>
        <w:autoSpaceDN w:val="0"/>
        <w:adjustRightInd w:val="0"/>
        <w:rPr>
          <w:rFonts w:eastAsia="Calibri" w:cs="Times New Roman"/>
          <w:szCs w:val="24"/>
        </w:rPr>
      </w:pPr>
    </w:p>
    <w:p w14:paraId="7DB0C489" w14:textId="77777777" w:rsidR="00E90163" w:rsidRPr="00842D3D" w:rsidRDefault="00E90163" w:rsidP="00E90163">
      <w:pPr>
        <w:autoSpaceDE w:val="0"/>
        <w:autoSpaceDN w:val="0"/>
        <w:adjustRightInd w:val="0"/>
        <w:rPr>
          <w:rFonts w:eastAsia="Calibri" w:cs="Times New Roman"/>
          <w:szCs w:val="24"/>
        </w:rPr>
      </w:pPr>
      <w:r w:rsidRPr="00842D3D">
        <w:rPr>
          <w:rFonts w:eastAsia="Calibri" w:cs="Times New Roman"/>
          <w:szCs w:val="24"/>
        </w:rPr>
        <w:tab/>
        <w:t>“Reasonable suspicion” is a particularized and objective basis for suspecting the plaintiff of criminal activity. The officer[s] [is] [are] permitted to draw on [his] [her] [</w:t>
      </w:r>
      <w:r w:rsidRPr="00842D3D">
        <w:rPr>
          <w:rFonts w:eastAsia="Calibri" w:cs="Times New Roman"/>
          <w:i/>
          <w:iCs/>
          <w:szCs w:val="24"/>
          <w:u w:val="single"/>
        </w:rPr>
        <w:t>other pronoun</w:t>
      </w:r>
      <w:r w:rsidRPr="00842D3D">
        <w:rPr>
          <w:rFonts w:eastAsia="Calibri" w:cs="Times New Roman"/>
          <w:szCs w:val="24"/>
        </w:rPr>
        <w:t>] own experience and specialized training to make inferences from and deductions about the cumulative information available to [him] [her] [</w:t>
      </w:r>
      <w:r w:rsidRPr="00842D3D">
        <w:rPr>
          <w:rFonts w:eastAsia="Calibri" w:cs="Times New Roman"/>
          <w:i/>
          <w:iCs/>
          <w:szCs w:val="24"/>
          <w:u w:val="single"/>
        </w:rPr>
        <w:t>other pronoun</w:t>
      </w:r>
      <w:r w:rsidRPr="00842D3D">
        <w:rPr>
          <w:rFonts w:eastAsia="Calibri" w:cs="Times New Roman"/>
          <w:szCs w:val="24"/>
        </w:rPr>
        <w:t>].</w:t>
      </w:r>
    </w:p>
    <w:p w14:paraId="0170A6FF" w14:textId="77777777" w:rsidR="00E90163" w:rsidRPr="00842D3D" w:rsidRDefault="00E90163" w:rsidP="00E90163">
      <w:pPr>
        <w:autoSpaceDE w:val="0"/>
        <w:autoSpaceDN w:val="0"/>
        <w:adjustRightInd w:val="0"/>
        <w:rPr>
          <w:rFonts w:eastAsia="Calibri" w:cs="Times New Roman"/>
          <w:szCs w:val="24"/>
        </w:rPr>
      </w:pPr>
    </w:p>
    <w:p w14:paraId="59C3356A" w14:textId="77777777" w:rsidR="00E90163" w:rsidRPr="00842D3D" w:rsidRDefault="00E90163" w:rsidP="00E90163">
      <w:pPr>
        <w:autoSpaceDE w:val="0"/>
        <w:autoSpaceDN w:val="0"/>
        <w:adjustRightInd w:val="0"/>
        <w:rPr>
          <w:rFonts w:eastAsia="Calibri" w:cs="Times New Roman"/>
          <w:szCs w:val="24"/>
        </w:rPr>
      </w:pPr>
      <w:r w:rsidRPr="00842D3D">
        <w:rPr>
          <w:rFonts w:eastAsia="Calibri" w:cs="Times New Roman"/>
          <w:szCs w:val="24"/>
        </w:rPr>
        <w:tab/>
        <w:t xml:space="preserve">In determining whether the length or scope of the seizure was reasonable, consider all of the circumstances, including: </w:t>
      </w:r>
    </w:p>
    <w:p w14:paraId="30E506DD" w14:textId="77777777" w:rsidR="00E90163" w:rsidRPr="00842D3D" w:rsidRDefault="00E90163" w:rsidP="00E90163">
      <w:pPr>
        <w:autoSpaceDE w:val="0"/>
        <w:autoSpaceDN w:val="0"/>
        <w:adjustRightInd w:val="0"/>
        <w:rPr>
          <w:rFonts w:eastAsia="Calibri" w:cs="Times New Roman"/>
          <w:szCs w:val="24"/>
        </w:rPr>
      </w:pPr>
    </w:p>
    <w:p w14:paraId="5D452C0B" w14:textId="77777777" w:rsidR="00E90163" w:rsidRPr="00842D3D" w:rsidRDefault="00E90163" w:rsidP="00E90163">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 xml:space="preserve">(1) </w:t>
      </w:r>
      <w:r w:rsidRPr="00842D3D">
        <w:rPr>
          <w:rFonts w:eastAsia="Calibri" w:cs="Times New Roman"/>
          <w:szCs w:val="24"/>
        </w:rPr>
        <w:tab/>
        <w:t>the intrusiveness of the stop, such as the methods the police used, the restriction on the plaintiff’s liberty, and the length of the stop;</w:t>
      </w:r>
    </w:p>
    <w:p w14:paraId="41B78115" w14:textId="77777777" w:rsidR="00E90163" w:rsidRPr="00842D3D" w:rsidRDefault="00E90163" w:rsidP="00E90163">
      <w:pPr>
        <w:autoSpaceDE w:val="0"/>
        <w:autoSpaceDN w:val="0"/>
        <w:adjustRightInd w:val="0"/>
        <w:rPr>
          <w:rFonts w:eastAsia="Calibri" w:cs="Times New Roman"/>
          <w:szCs w:val="24"/>
        </w:rPr>
      </w:pPr>
    </w:p>
    <w:p w14:paraId="37DFC95D" w14:textId="77777777" w:rsidR="00E90163" w:rsidRPr="00842D3D" w:rsidRDefault="00E90163" w:rsidP="00E90163">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 xml:space="preserve">(2) </w:t>
      </w:r>
      <w:r w:rsidRPr="00842D3D">
        <w:rPr>
          <w:rFonts w:eastAsia="Calibri" w:cs="Times New Roman"/>
          <w:szCs w:val="24"/>
        </w:rPr>
        <w:tab/>
        <w:t>whether the methods used were reasonable under the circumstances; and</w:t>
      </w:r>
    </w:p>
    <w:p w14:paraId="1F3CBA3F" w14:textId="77777777" w:rsidR="00E90163" w:rsidRPr="00842D3D" w:rsidRDefault="00E90163" w:rsidP="00E90163">
      <w:pPr>
        <w:autoSpaceDE w:val="0"/>
        <w:autoSpaceDN w:val="0"/>
        <w:adjustRightInd w:val="0"/>
        <w:rPr>
          <w:rFonts w:eastAsia="Calibri" w:cs="Times New Roman"/>
          <w:szCs w:val="24"/>
        </w:rPr>
      </w:pPr>
    </w:p>
    <w:p w14:paraId="77C1C4F8" w14:textId="77777777" w:rsidR="00E90163" w:rsidRPr="00842D3D" w:rsidRDefault="00E90163" w:rsidP="00E90163">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 xml:space="preserve">[(3) </w:t>
      </w:r>
      <w:r w:rsidRPr="00842D3D">
        <w:rPr>
          <w:rFonts w:eastAsia="Calibri" w:cs="Times New Roman"/>
          <w:szCs w:val="24"/>
        </w:rPr>
        <w:tab/>
      </w:r>
      <w:r w:rsidRPr="00842D3D">
        <w:rPr>
          <w:rFonts w:eastAsia="Calibri" w:cs="Times New Roman"/>
          <w:i/>
          <w:szCs w:val="24"/>
          <w:u w:val="single"/>
        </w:rPr>
        <w:t>insert other factors applicable to this case</w:t>
      </w:r>
      <w:r w:rsidRPr="00842D3D">
        <w:rPr>
          <w:rFonts w:eastAsia="Calibri" w:cs="Times New Roman"/>
          <w:szCs w:val="24"/>
        </w:rPr>
        <w:t>.]</w:t>
      </w:r>
    </w:p>
    <w:p w14:paraId="5FAE663D" w14:textId="77777777" w:rsidR="00E90163" w:rsidRPr="00842D3D" w:rsidRDefault="00E90163" w:rsidP="00E90163">
      <w:pPr>
        <w:autoSpaceDE w:val="0"/>
        <w:autoSpaceDN w:val="0"/>
        <w:adjustRightInd w:val="0"/>
        <w:rPr>
          <w:rFonts w:eastAsia="Calibri" w:cs="Times New Roman"/>
          <w:szCs w:val="24"/>
        </w:rPr>
      </w:pPr>
    </w:p>
    <w:p w14:paraId="40950DA6" w14:textId="77777777" w:rsidR="00E90163" w:rsidRPr="00842D3D" w:rsidRDefault="00E90163" w:rsidP="00E90163">
      <w:pPr>
        <w:autoSpaceDE w:val="0"/>
        <w:autoSpaceDN w:val="0"/>
        <w:adjustRightInd w:val="0"/>
        <w:jc w:val="center"/>
        <w:rPr>
          <w:rFonts w:eastAsia="Calibri" w:cs="Times New Roman"/>
          <w:b/>
          <w:szCs w:val="24"/>
        </w:rPr>
      </w:pPr>
      <w:r w:rsidRPr="00842D3D">
        <w:rPr>
          <w:rFonts w:eastAsia="Calibri" w:cs="Times New Roman"/>
          <w:b/>
          <w:szCs w:val="24"/>
        </w:rPr>
        <w:t>Comment</w:t>
      </w:r>
    </w:p>
    <w:p w14:paraId="31396AD4" w14:textId="77777777" w:rsidR="00E90163" w:rsidRPr="00842D3D" w:rsidRDefault="00E90163" w:rsidP="00E90163">
      <w:pPr>
        <w:autoSpaceDE w:val="0"/>
        <w:autoSpaceDN w:val="0"/>
        <w:adjustRightInd w:val="0"/>
        <w:rPr>
          <w:rFonts w:eastAsia="Calibri" w:cs="Times New Roman"/>
          <w:b/>
          <w:szCs w:val="24"/>
        </w:rPr>
      </w:pPr>
    </w:p>
    <w:p w14:paraId="02C41279" w14:textId="77777777" w:rsidR="00E90163" w:rsidRPr="00842D3D" w:rsidRDefault="00E90163" w:rsidP="00E90163">
      <w:pPr>
        <w:autoSpaceDE w:val="0"/>
        <w:autoSpaceDN w:val="0"/>
        <w:adjustRightInd w:val="0"/>
        <w:rPr>
          <w:rFonts w:eastAsia="Calibri" w:cs="Times New Roman"/>
          <w:szCs w:val="24"/>
        </w:rPr>
      </w:pPr>
      <w:r w:rsidRPr="00842D3D">
        <w:rPr>
          <w:rFonts w:eastAsia="Calibri" w:cs="Times New Roman"/>
          <w:szCs w:val="24"/>
        </w:rPr>
        <w:tab/>
        <w:t>Use this instruction only in conjunction with the applicable elements instructions, Instruction 9.3-9.8, and in conjunction with Instruction 9.2</w:t>
      </w:r>
      <w:r>
        <w:rPr>
          <w:rFonts w:eastAsia="Calibri" w:cs="Times New Roman"/>
          <w:szCs w:val="24"/>
        </w:rPr>
        <w:t>2</w:t>
      </w:r>
      <w:r w:rsidRPr="00842D3D">
        <w:rPr>
          <w:rFonts w:eastAsia="Calibri" w:cs="Times New Roman"/>
          <w:szCs w:val="24"/>
        </w:rPr>
        <w:t xml:space="preserve"> (Particular Rights—Fourth Amendment—Unreasonable Seizure of Person—Generally).</w:t>
      </w:r>
    </w:p>
    <w:p w14:paraId="37055C10" w14:textId="77777777" w:rsidR="00E90163" w:rsidRPr="00842D3D" w:rsidRDefault="00E90163" w:rsidP="00E90163">
      <w:pPr>
        <w:autoSpaceDE w:val="0"/>
        <w:autoSpaceDN w:val="0"/>
        <w:adjustRightInd w:val="0"/>
        <w:rPr>
          <w:rFonts w:eastAsia="Calibri" w:cs="Times New Roman"/>
          <w:b/>
          <w:szCs w:val="24"/>
        </w:rPr>
      </w:pPr>
    </w:p>
    <w:p w14:paraId="63A99CD1" w14:textId="77777777" w:rsidR="00E90163" w:rsidRPr="00842D3D" w:rsidRDefault="00E90163" w:rsidP="00E90163">
      <w:pPr>
        <w:shd w:val="clear" w:color="auto" w:fill="FFFFFF"/>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proofErr w:type="spellStart"/>
      <w:r w:rsidRPr="00842D3D">
        <w:rPr>
          <w:rFonts w:eastAsia="Calibri" w:cs="Times New Roman"/>
          <w:i/>
          <w:iCs/>
          <w:szCs w:val="24"/>
        </w:rPr>
        <w:t>Chinaryan</w:t>
      </w:r>
      <w:proofErr w:type="spellEnd"/>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 xml:space="preserve">”—plural—“used excessive force.” </w:t>
      </w:r>
      <w:proofErr w:type="spellStart"/>
      <w:r w:rsidRPr="00842D3D">
        <w:rPr>
          <w:rFonts w:eastAsia="Times New Roman" w:cs="Times New Roman"/>
          <w:i/>
          <w:iCs/>
          <w:szCs w:val="24"/>
          <w:bdr w:val="none" w:sz="0" w:space="0" w:color="auto" w:frame="1"/>
        </w:rPr>
        <w:t>Chinaryan</w:t>
      </w:r>
      <w:proofErr w:type="spellEnd"/>
      <w:r w:rsidRPr="00842D3D">
        <w:rPr>
          <w:rFonts w:eastAsia="Times New Roman" w:cs="Times New Roman"/>
          <w:i/>
          <w:iCs/>
          <w:szCs w:val="24"/>
          <w:bdr w:val="none" w:sz="0" w:space="0" w:color="auto" w:frame="1"/>
        </w:rPr>
        <w:t xml:space="preserve">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proofErr w:type="spellStart"/>
      <w:r w:rsidRPr="00842D3D">
        <w:rPr>
          <w:rFonts w:eastAsia="Times New Roman" w:cs="Times New Roman"/>
          <w:i/>
          <w:iCs/>
          <w:szCs w:val="24"/>
          <w:bdr w:val="none" w:sz="0" w:space="0" w:color="auto" w:frame="1"/>
        </w:rPr>
        <w:t>Chinaryan</w:t>
      </w:r>
      <w:proofErr w:type="spellEnd"/>
      <w:r w:rsidRPr="00842D3D">
        <w:rPr>
          <w:rFonts w:eastAsia="Times New Roman" w:cs="Times New Roman"/>
          <w:szCs w:val="24"/>
        </w:rPr>
        <w:t>, the trial judge may consider using a special verdict to identify the specific findings as to each plaintiff and defendant.</w:t>
      </w:r>
    </w:p>
    <w:p w14:paraId="7CF1E7F2" w14:textId="77777777" w:rsidR="00E90163" w:rsidRPr="00842D3D" w:rsidRDefault="00E90163" w:rsidP="00E90163">
      <w:pPr>
        <w:autoSpaceDE w:val="0"/>
        <w:autoSpaceDN w:val="0"/>
        <w:adjustRightInd w:val="0"/>
        <w:rPr>
          <w:rFonts w:eastAsia="Calibri" w:cs="Times New Roman"/>
          <w:b/>
          <w:szCs w:val="24"/>
        </w:rPr>
      </w:pPr>
    </w:p>
    <w:p w14:paraId="675C2FF0" w14:textId="77777777" w:rsidR="00E90163" w:rsidRPr="00842D3D" w:rsidRDefault="00E90163" w:rsidP="00E90163">
      <w:pPr>
        <w:autoSpaceDE w:val="0"/>
        <w:autoSpaceDN w:val="0"/>
        <w:adjustRightInd w:val="0"/>
        <w:rPr>
          <w:rFonts w:eastAsia="Calibri" w:cs="Times New Roman"/>
          <w:szCs w:val="24"/>
        </w:rPr>
      </w:pPr>
      <w:r w:rsidRPr="00842D3D">
        <w:rPr>
          <w:rFonts w:eastAsia="Calibri" w:cs="Times New Roman"/>
          <w:szCs w:val="24"/>
        </w:rPr>
        <w:tab/>
        <w:t xml:space="preserve">A police officer may conduct a brief stop for investigatory purposes when the officer has “reasonable suspicion” to believe the stopped individual is engaged in criminal activity. </w:t>
      </w:r>
      <w:r w:rsidRPr="00842D3D">
        <w:rPr>
          <w:rFonts w:eastAsia="Calibri" w:cs="Times New Roman"/>
          <w:i/>
          <w:szCs w:val="24"/>
        </w:rPr>
        <w:t>See Terry v. Ohio</w:t>
      </w:r>
      <w:r w:rsidRPr="00842D3D">
        <w:rPr>
          <w:rFonts w:eastAsia="Calibri" w:cs="Times New Roman"/>
          <w:szCs w:val="24"/>
        </w:rPr>
        <w:t xml:space="preserve">, 392 U.S. 1, 23-27 (1968). An investigatory stop of a vehicle is justified under the Fourth Amendment if the officer reasonably suspects that a traffic violation has occurred. </w:t>
      </w:r>
      <w:r w:rsidRPr="00842D3D">
        <w:rPr>
          <w:rFonts w:eastAsia="Calibri" w:cs="Times New Roman"/>
          <w:i/>
          <w:szCs w:val="24"/>
        </w:rPr>
        <w:t>Melendres v. Arpaio</w:t>
      </w:r>
      <w:r w:rsidRPr="00842D3D">
        <w:rPr>
          <w:rFonts w:eastAsia="Calibri" w:cs="Times New Roman"/>
          <w:szCs w:val="24"/>
        </w:rPr>
        <w:t xml:space="preserve">, 695 F.3d 990, 1000 (9th Cir. 2012). However, a traffic stop “exceeding the time needed to handle the matter for which the stop was made” violates the constitutional protection against unreasonable seizures. </w:t>
      </w:r>
      <w:r w:rsidRPr="00842D3D">
        <w:rPr>
          <w:rFonts w:eastAsia="Calibri" w:cs="Times New Roman"/>
          <w:i/>
          <w:szCs w:val="24"/>
        </w:rPr>
        <w:t>Rodriguez v. United States</w:t>
      </w:r>
      <w:r w:rsidRPr="00842D3D">
        <w:rPr>
          <w:rFonts w:eastAsia="Calibri" w:cs="Times New Roman"/>
          <w:szCs w:val="24"/>
        </w:rPr>
        <w:t xml:space="preserve">, 575 U.S. 348, 351 (2015). Handling the traffic stop includes checking driver’s licenses, determining whether there are outstanding warrants, and inspecting the car’s registration and proof of insurance. </w:t>
      </w:r>
      <w:r w:rsidRPr="00842D3D">
        <w:rPr>
          <w:rFonts w:eastAsia="Calibri" w:cs="Times New Roman"/>
          <w:i/>
          <w:szCs w:val="24"/>
        </w:rPr>
        <w:t>Id</w:t>
      </w:r>
      <w:r w:rsidRPr="00842D3D">
        <w:rPr>
          <w:rFonts w:eastAsia="Calibri" w:cs="Times New Roman"/>
          <w:szCs w:val="24"/>
        </w:rPr>
        <w:t xml:space="preserve">. at 355; </w:t>
      </w:r>
      <w:r w:rsidRPr="00842D3D">
        <w:rPr>
          <w:rFonts w:eastAsia="Calibri" w:cs="Times New Roman"/>
          <w:i/>
          <w:iCs/>
          <w:szCs w:val="24"/>
        </w:rPr>
        <w:t>United States v. Steinman</w:t>
      </w:r>
      <w:r w:rsidRPr="00842D3D">
        <w:rPr>
          <w:rFonts w:eastAsia="Calibri" w:cs="Times New Roman"/>
          <w:szCs w:val="24"/>
        </w:rPr>
        <w:t xml:space="preserve">, 130 F.4th 693, 703 (9th Cir. 2025). </w:t>
      </w:r>
      <w:r w:rsidRPr="00842D3D">
        <w:rPr>
          <w:rFonts w:eastAsia="Calibri" w:cs="Times New Roman"/>
          <w:szCs w:val="24"/>
          <w:lang w:val="en-CA"/>
        </w:rPr>
        <w:fldChar w:fldCharType="begin"/>
      </w:r>
      <w:r w:rsidRPr="00842D3D">
        <w:rPr>
          <w:rFonts w:eastAsia="Calibri" w:cs="Times New Roman"/>
          <w:szCs w:val="24"/>
          <w:lang w:val="en-CA"/>
        </w:rPr>
        <w:instrText xml:space="preserve"> SEQ CHAPTER \h \r 1</w:instrText>
      </w:r>
      <w:r w:rsidRPr="00842D3D">
        <w:rPr>
          <w:rFonts w:eastAsia="Calibri" w:cs="Times New Roman"/>
          <w:szCs w:val="24"/>
        </w:rPr>
        <w:fldChar w:fldCharType="end"/>
      </w:r>
      <w:r w:rsidRPr="00842D3D">
        <w:rPr>
          <w:rFonts w:eastAsia="Calibri" w:cs="Times New Roman"/>
          <w:szCs w:val="24"/>
        </w:rPr>
        <w:t xml:space="preserve">A stop is not prolonged beyond the mission of the original traffic stop where officers conduct an investigation into matters such as a criminal history check, because such an investigation “stems from the mission of the stop itself” and “is a ‘negligibly burdensome precaution’ necessary ‘to complete the stop safely.’” </w:t>
      </w:r>
      <w:r w:rsidRPr="00842D3D">
        <w:rPr>
          <w:rFonts w:eastAsia="Calibri" w:cs="Times New Roman"/>
          <w:i/>
          <w:szCs w:val="24"/>
        </w:rPr>
        <w:t>United States v. Taylor</w:t>
      </w:r>
      <w:r w:rsidRPr="00842D3D">
        <w:rPr>
          <w:rFonts w:eastAsia="Calibri" w:cs="Times New Roman"/>
          <w:szCs w:val="24"/>
        </w:rPr>
        <w:t xml:space="preserve">, 60 F.4th 1233, 1241 (9th Cir. 2023) (quoting </w:t>
      </w:r>
      <w:r w:rsidRPr="00842D3D">
        <w:rPr>
          <w:rFonts w:eastAsia="Calibri" w:cs="Times New Roman"/>
          <w:i/>
          <w:szCs w:val="24"/>
        </w:rPr>
        <w:t>United States v. Hylton</w:t>
      </w:r>
      <w:r w:rsidRPr="00842D3D">
        <w:rPr>
          <w:rFonts w:eastAsia="Calibri" w:cs="Times New Roman"/>
          <w:szCs w:val="24"/>
        </w:rPr>
        <w:t>, 30 F.4th 842, 848 (9th Cir. 2022)). In addition, an officer may lawfully attend to related</w:t>
      </w:r>
    </w:p>
    <w:p w14:paraId="56A8024C" w14:textId="77777777" w:rsidR="00E90163" w:rsidRPr="00842D3D" w:rsidRDefault="00E90163" w:rsidP="00E90163">
      <w:pPr>
        <w:autoSpaceDE w:val="0"/>
        <w:autoSpaceDN w:val="0"/>
        <w:adjustRightInd w:val="0"/>
        <w:rPr>
          <w:rFonts w:eastAsia="Calibri" w:cs="Times New Roman"/>
          <w:szCs w:val="24"/>
        </w:rPr>
      </w:pPr>
      <w:r w:rsidRPr="00842D3D">
        <w:rPr>
          <w:rFonts w:eastAsia="Calibri" w:cs="Times New Roman"/>
          <w:szCs w:val="24"/>
        </w:rPr>
        <w:t>safety concerns, such as ordering the driver to exit the vehicle during a traffic stop.</w:t>
      </w:r>
    </w:p>
    <w:p w14:paraId="066CFDF9" w14:textId="77777777" w:rsidR="00E90163" w:rsidRPr="00842D3D" w:rsidRDefault="00E90163" w:rsidP="00E90163">
      <w:pPr>
        <w:autoSpaceDE w:val="0"/>
        <w:autoSpaceDN w:val="0"/>
        <w:adjustRightInd w:val="0"/>
        <w:rPr>
          <w:rFonts w:eastAsia="Calibri" w:cs="Times New Roman"/>
          <w:szCs w:val="24"/>
        </w:rPr>
      </w:pPr>
      <w:r w:rsidRPr="00842D3D">
        <w:rPr>
          <w:rFonts w:eastAsia="Calibri" w:cs="Times New Roman"/>
          <w:i/>
          <w:iCs/>
          <w:szCs w:val="24"/>
        </w:rPr>
        <w:t>Steinman</w:t>
      </w:r>
      <w:r w:rsidRPr="00842D3D">
        <w:rPr>
          <w:rFonts w:eastAsia="Calibri" w:cs="Times New Roman"/>
          <w:szCs w:val="24"/>
        </w:rPr>
        <w:t xml:space="preserve">, 130 F.4th at 704. Likewise, officers do not prolong a stop by conducting a pat down search for weapons where the officers have reasonable suspicion “that the driver ‘might be armed and presently dangerous.’” </w:t>
      </w:r>
      <w:r w:rsidRPr="00842D3D">
        <w:rPr>
          <w:rFonts w:eastAsia="Calibri" w:cs="Times New Roman"/>
          <w:i/>
          <w:szCs w:val="24"/>
        </w:rPr>
        <w:t>Taylor</w:t>
      </w:r>
      <w:r w:rsidRPr="00842D3D">
        <w:rPr>
          <w:rFonts w:eastAsia="Calibri" w:cs="Times New Roman"/>
          <w:szCs w:val="24"/>
        </w:rPr>
        <w:t xml:space="preserve">, 60 F.4th at 1242 (quoting </w:t>
      </w:r>
      <w:r w:rsidRPr="00842D3D">
        <w:rPr>
          <w:rFonts w:eastAsia="Calibri" w:cs="Times New Roman"/>
          <w:i/>
          <w:szCs w:val="24"/>
        </w:rPr>
        <w:t>Arizona v. Johnson</w:t>
      </w:r>
      <w:r w:rsidRPr="00842D3D">
        <w:rPr>
          <w:rFonts w:eastAsia="Calibri" w:cs="Times New Roman"/>
          <w:szCs w:val="24"/>
        </w:rPr>
        <w:t xml:space="preserve">, 555 U.S. 323, 331 (2009)). Further, there is no Fourth Amendment violation “even if officers prolonged the encounter beyond the original mission of the traffic stop,” so long as the officers “had a sufficient basis to do so,” which includes “reasonable suspicion of an independent offense.” </w:t>
      </w:r>
      <w:r w:rsidRPr="00842D3D">
        <w:rPr>
          <w:rFonts w:eastAsia="Calibri" w:cs="Times New Roman"/>
          <w:i/>
          <w:szCs w:val="24"/>
        </w:rPr>
        <w:t>Taylor</w:t>
      </w:r>
      <w:r w:rsidRPr="00842D3D">
        <w:rPr>
          <w:rFonts w:eastAsia="Calibri" w:cs="Times New Roman"/>
          <w:szCs w:val="24"/>
        </w:rPr>
        <w:t xml:space="preserve">, 60 F.4th at 1242 (holding that the stop was not prolonged where “officers knew about [defendant’s] traffic offenses and that he was on federal supervision for being a felon in possession, and once [defendant] stepped out of the car, the officers could clearly see [defendant’s] unzipped, empty fanny pack,” which officers knew from experience was commonly used to store weapons); </w:t>
      </w:r>
      <w:r w:rsidRPr="00842D3D">
        <w:rPr>
          <w:rFonts w:eastAsia="Calibri" w:cs="Times New Roman"/>
          <w:i/>
          <w:iCs/>
          <w:szCs w:val="24"/>
        </w:rPr>
        <w:t>see Steinman</w:t>
      </w:r>
      <w:r w:rsidRPr="00842D3D">
        <w:rPr>
          <w:rFonts w:eastAsia="Calibri" w:cs="Times New Roman"/>
          <w:szCs w:val="24"/>
        </w:rPr>
        <w:t xml:space="preserve">, 130 F.4th at 704, 708-10. An officer may not conduct unrelated checks (such as a dog sniff) “in a way that prolongs the stop, absent the reasonable suspicion ordinarily demanded to justify detaining an individual.” </w:t>
      </w:r>
      <w:r w:rsidRPr="00842D3D">
        <w:rPr>
          <w:rFonts w:eastAsia="Calibri" w:cs="Times New Roman"/>
          <w:i/>
          <w:szCs w:val="24"/>
        </w:rPr>
        <w:t>Rodriguez</w:t>
      </w:r>
      <w:r w:rsidRPr="00842D3D">
        <w:rPr>
          <w:rFonts w:eastAsia="Calibri" w:cs="Times New Roman"/>
          <w:szCs w:val="24"/>
        </w:rPr>
        <w:t>, 575 U.S. at 355.</w:t>
      </w:r>
    </w:p>
    <w:p w14:paraId="1E57DD33" w14:textId="77777777" w:rsidR="00E90163" w:rsidRPr="00842D3D" w:rsidRDefault="00E90163" w:rsidP="00E90163">
      <w:pPr>
        <w:autoSpaceDE w:val="0"/>
        <w:autoSpaceDN w:val="0"/>
        <w:adjustRightInd w:val="0"/>
        <w:rPr>
          <w:rFonts w:eastAsia="Calibri" w:cs="Times New Roman"/>
          <w:szCs w:val="24"/>
        </w:rPr>
      </w:pPr>
    </w:p>
    <w:p w14:paraId="2BCDB9A8" w14:textId="77777777" w:rsidR="00E90163" w:rsidRPr="00842D3D" w:rsidRDefault="00E90163" w:rsidP="00E90163">
      <w:pPr>
        <w:autoSpaceDE w:val="0"/>
        <w:autoSpaceDN w:val="0"/>
        <w:adjustRightInd w:val="0"/>
        <w:rPr>
          <w:rFonts w:eastAsia="Calibri" w:cs="Times New Roman"/>
          <w:szCs w:val="24"/>
        </w:rPr>
      </w:pPr>
      <w:r w:rsidRPr="00842D3D">
        <w:rPr>
          <w:rFonts w:eastAsia="Calibri" w:cs="Times New Roman"/>
          <w:szCs w:val="24"/>
        </w:rPr>
        <w:tab/>
        <w:t>“Reasonable suspicion” is defined as “a particularized and objective basis for suspecting the particular person stopped of criminal activity.”</w:t>
      </w:r>
      <w:r w:rsidRPr="00842D3D">
        <w:rPr>
          <w:rFonts w:eastAsia="Calibri" w:cs="Times New Roman"/>
          <w:i/>
          <w:szCs w:val="24"/>
        </w:rPr>
        <w:t xml:space="preserve"> United States v. Valdes-Vega</w:t>
      </w:r>
      <w:r w:rsidRPr="00842D3D">
        <w:rPr>
          <w:rFonts w:eastAsia="Calibri" w:cs="Times New Roman"/>
          <w:szCs w:val="24"/>
        </w:rPr>
        <w:t xml:space="preserve">, 738 F.3d 1074, 1078 (9th Cir. 2013). The reasonable suspicion standard “is not a particularly high threshold to reach.” </w:t>
      </w:r>
      <w:r w:rsidRPr="00842D3D">
        <w:rPr>
          <w:rFonts w:eastAsia="Calibri" w:cs="Times New Roman"/>
          <w:i/>
          <w:szCs w:val="24"/>
        </w:rPr>
        <w:t>United States v. Bontemps</w:t>
      </w:r>
      <w:r w:rsidRPr="00842D3D">
        <w:rPr>
          <w:rFonts w:eastAsia="Calibri" w:cs="Times New Roman"/>
          <w:szCs w:val="24"/>
        </w:rPr>
        <w:t xml:space="preserve">, 977 F.3d 909, 915 (9th Cir. 2020) (“[A] bulge suggestive of a firearm can be sufficient to create reasonable suspicion.”). It requires only “a minimal level of objective justification.” </w:t>
      </w:r>
      <w:r w:rsidRPr="00842D3D">
        <w:rPr>
          <w:rFonts w:eastAsia="Calibri" w:cs="Times New Roman"/>
          <w:i/>
          <w:szCs w:val="24"/>
        </w:rPr>
        <w:t>Illinois v. Wardlow</w:t>
      </w:r>
      <w:r w:rsidRPr="00842D3D">
        <w:rPr>
          <w:rFonts w:eastAsia="Calibri" w:cs="Times New Roman"/>
          <w:szCs w:val="24"/>
        </w:rPr>
        <w:t xml:space="preserve">, 528 U.S. 119, 123 (2000). Because the standard is objective, an officer need not tell the individual the real reason for the stop. </w:t>
      </w:r>
      <w:r w:rsidRPr="00842D3D">
        <w:rPr>
          <w:rFonts w:eastAsia="Calibri" w:cs="Times New Roman"/>
          <w:i/>
          <w:szCs w:val="24"/>
        </w:rPr>
        <w:t>United States v. Magallon-Lopez</w:t>
      </w:r>
      <w:r w:rsidRPr="00842D3D">
        <w:rPr>
          <w:rFonts w:eastAsia="Calibri" w:cs="Times New Roman"/>
          <w:szCs w:val="24"/>
        </w:rPr>
        <w:t xml:space="preserve">, 817 F.3d 671, 675 (9th Cir. 2016) (holding that an officer may lie to individual about basis for </w:t>
      </w:r>
      <w:r w:rsidRPr="00842D3D">
        <w:rPr>
          <w:rFonts w:eastAsia="Calibri" w:cs="Times New Roman"/>
          <w:i/>
          <w:szCs w:val="24"/>
        </w:rPr>
        <w:t xml:space="preserve">Terry </w:t>
      </w:r>
      <w:r w:rsidRPr="00842D3D">
        <w:rPr>
          <w:rFonts w:eastAsia="Calibri" w:cs="Times New Roman"/>
          <w:szCs w:val="24"/>
        </w:rPr>
        <w:t>stop). An officer is permitted to draw on the officer’s own “experience and specialized training to make inferences from and deductions about the cumulative information available to the officer that might otherwise elude an untrained person.”</w:t>
      </w:r>
      <w:r w:rsidRPr="00842D3D">
        <w:rPr>
          <w:rFonts w:eastAsia="Calibri" w:cs="Times New Roman"/>
          <w:i/>
          <w:szCs w:val="24"/>
        </w:rPr>
        <w:t xml:space="preserve"> Valdes-Vega</w:t>
      </w:r>
      <w:r w:rsidRPr="00842D3D">
        <w:rPr>
          <w:rFonts w:eastAsia="Calibri" w:cs="Times New Roman"/>
          <w:szCs w:val="24"/>
        </w:rPr>
        <w:t xml:space="preserve">, 738 F.3d at 1078 (quoting </w:t>
      </w:r>
      <w:r w:rsidRPr="00842D3D">
        <w:rPr>
          <w:rFonts w:eastAsia="Calibri" w:cs="Times New Roman"/>
          <w:i/>
          <w:szCs w:val="24"/>
        </w:rPr>
        <w:t>United States v. Arvizu</w:t>
      </w:r>
      <w:r w:rsidRPr="00842D3D">
        <w:rPr>
          <w:rFonts w:eastAsia="Calibri" w:cs="Times New Roman"/>
          <w:szCs w:val="24"/>
        </w:rPr>
        <w:t xml:space="preserve">, 534 U.S. 266, 273 (2002)). A court must consider the totality of the circumstances when determining whether reasonable suspicion existed. </w:t>
      </w:r>
      <w:r w:rsidRPr="00842D3D">
        <w:rPr>
          <w:rFonts w:eastAsia="Calibri" w:cs="Times New Roman"/>
          <w:i/>
          <w:szCs w:val="24"/>
        </w:rPr>
        <w:t>Id</w:t>
      </w:r>
      <w:r w:rsidRPr="00842D3D">
        <w:rPr>
          <w:rFonts w:eastAsia="Calibri" w:cs="Times New Roman"/>
          <w:szCs w:val="24"/>
        </w:rPr>
        <w:t xml:space="preserve">. Additional information acquired through consensual questioning combined with an officer’s </w:t>
      </w:r>
      <w:r w:rsidRPr="00842D3D">
        <w:rPr>
          <w:rFonts w:eastAsia="Calibri" w:cs="Times New Roman"/>
          <w:szCs w:val="24"/>
        </w:rPr>
        <w:lastRenderedPageBreak/>
        <w:t xml:space="preserve">knowledge and training can give rise to reasonable, articulable suspicion. </w:t>
      </w:r>
      <w:r w:rsidRPr="00842D3D">
        <w:rPr>
          <w:rFonts w:eastAsia="Calibri" w:cs="Times New Roman"/>
          <w:i/>
          <w:szCs w:val="24"/>
        </w:rPr>
        <w:t>See United States v. Brown</w:t>
      </w:r>
      <w:r w:rsidRPr="00842D3D">
        <w:rPr>
          <w:rFonts w:eastAsia="Calibri" w:cs="Times New Roman"/>
          <w:szCs w:val="24"/>
        </w:rPr>
        <w:t>, 996 F.3d 998, 1007 (9th Cir. 2021);</w:t>
      </w:r>
      <w:r w:rsidRPr="00842D3D">
        <w:rPr>
          <w:rFonts w:eastAsia="Calibri" w:cs="Times New Roman"/>
          <w:i/>
          <w:szCs w:val="24"/>
        </w:rPr>
        <w:t xml:space="preserve"> </w:t>
      </w:r>
      <w:bookmarkStart w:id="2" w:name="_Hlk129877564"/>
      <w:r w:rsidRPr="00842D3D">
        <w:rPr>
          <w:rFonts w:eastAsia="Calibri" w:cs="Times New Roman"/>
          <w:i/>
          <w:szCs w:val="24"/>
        </w:rPr>
        <w:t>Taylor</w:t>
      </w:r>
      <w:r w:rsidRPr="00842D3D">
        <w:rPr>
          <w:rFonts w:eastAsia="Calibri" w:cs="Times New Roman"/>
          <w:szCs w:val="24"/>
        </w:rPr>
        <w:t xml:space="preserve">, 60 F.4th at 1242 (upholding a </w:t>
      </w:r>
      <w:bookmarkStart w:id="3" w:name="_Hlk140219336"/>
      <w:r w:rsidRPr="00842D3D">
        <w:rPr>
          <w:rFonts w:eastAsia="Calibri" w:cs="Times New Roman"/>
          <w:i/>
          <w:szCs w:val="24"/>
        </w:rPr>
        <w:t>Terry</w:t>
      </w:r>
      <w:r w:rsidRPr="00842D3D">
        <w:rPr>
          <w:rFonts w:eastAsia="Calibri" w:cs="Times New Roman"/>
          <w:szCs w:val="24"/>
        </w:rPr>
        <w:t xml:space="preserve"> search </w:t>
      </w:r>
      <w:bookmarkEnd w:id="3"/>
      <w:r w:rsidRPr="00842D3D">
        <w:rPr>
          <w:rFonts w:eastAsia="Calibri" w:cs="Times New Roman"/>
          <w:szCs w:val="24"/>
        </w:rPr>
        <w:t>where officers knew about defendant’s traffic offenses and that he was on federal supervision for being felon in possession of firearm; after defendant stepped out of car, officers could clearly see defendant’s unzipped, empty fanny pack, which officers knew from their experience was commonly used to store weapons)</w:t>
      </w:r>
      <w:bookmarkEnd w:id="2"/>
      <w:r w:rsidRPr="00842D3D">
        <w:rPr>
          <w:rFonts w:eastAsia="Calibri" w:cs="Times New Roman"/>
          <w:szCs w:val="24"/>
        </w:rPr>
        <w:t xml:space="preserve">. However, “avoidance of the police, standing alone, does not give rise to a particularized, reasonable suspicion that a person is committing a crime.” </w:t>
      </w:r>
      <w:r w:rsidRPr="00842D3D">
        <w:rPr>
          <w:rFonts w:eastAsia="Calibri" w:cs="Times New Roman"/>
          <w:i/>
          <w:szCs w:val="24"/>
        </w:rPr>
        <w:t>Liberal v. Estrada</w:t>
      </w:r>
      <w:r w:rsidRPr="00842D3D">
        <w:rPr>
          <w:rFonts w:eastAsia="Calibri" w:cs="Times New Roman"/>
          <w:szCs w:val="24"/>
        </w:rPr>
        <w:t xml:space="preserve">, 632 F.3d 1064, 1078 (9th Cir. 2011) (stating that no reasonable suspicion existed where “Plaintiff was trying to avoid him by making several turns and then parking next to a dumpster in a darkened alley. [Although in] some circumstances, a suspect’s unprovoked, headlong flight can support an officer’s reasonable suspicion.”), </w:t>
      </w:r>
      <w:r w:rsidRPr="00842D3D">
        <w:rPr>
          <w:rFonts w:eastAsia="Calibri" w:cs="Times New Roman"/>
          <w:i/>
          <w:szCs w:val="24"/>
        </w:rPr>
        <w:t>abrogated in part</w:t>
      </w:r>
      <w:r w:rsidRPr="00842D3D">
        <w:rPr>
          <w:rFonts w:eastAsia="Calibri" w:cs="Times New Roman"/>
          <w:szCs w:val="24"/>
        </w:rPr>
        <w:t>,</w:t>
      </w:r>
      <w:r w:rsidRPr="00842D3D">
        <w:rPr>
          <w:rFonts w:eastAsia="Calibri" w:cs="Times New Roman"/>
          <w:i/>
          <w:szCs w:val="24"/>
        </w:rPr>
        <w:t xml:space="preserve"> Hampton v. California</w:t>
      </w:r>
      <w:r w:rsidRPr="00842D3D">
        <w:rPr>
          <w:rFonts w:eastAsia="Calibri" w:cs="Times New Roman"/>
          <w:szCs w:val="24"/>
        </w:rPr>
        <w:t>, 83 F.4th 754, 773 (9th Cir. 2023) (concluding that immunities stated in California's Government Claims Act are defenses to liability, not immunities from suit).</w:t>
      </w:r>
    </w:p>
    <w:p w14:paraId="0E582A7E" w14:textId="77777777" w:rsidR="00E90163" w:rsidRPr="00842D3D" w:rsidRDefault="00E90163" w:rsidP="00E90163">
      <w:pPr>
        <w:autoSpaceDE w:val="0"/>
        <w:autoSpaceDN w:val="0"/>
        <w:adjustRightInd w:val="0"/>
        <w:rPr>
          <w:rFonts w:eastAsia="Calibri" w:cs="Times New Roman"/>
          <w:szCs w:val="24"/>
        </w:rPr>
      </w:pPr>
    </w:p>
    <w:p w14:paraId="6762C9AF" w14:textId="77777777" w:rsidR="00E90163" w:rsidRPr="00842D3D" w:rsidRDefault="00E90163" w:rsidP="00E90163">
      <w:pPr>
        <w:autoSpaceDE w:val="0"/>
        <w:autoSpaceDN w:val="0"/>
        <w:adjustRightInd w:val="0"/>
        <w:rPr>
          <w:rFonts w:eastAsia="Calibri" w:cs="Times New Roman"/>
          <w:szCs w:val="24"/>
        </w:rPr>
      </w:pPr>
      <w:r w:rsidRPr="00842D3D">
        <w:rPr>
          <w:rFonts w:eastAsia="Calibri" w:cs="Times New Roman"/>
          <w:szCs w:val="24"/>
        </w:rPr>
        <w:tab/>
        <w:t xml:space="preserve">In cases involving multiple individuals who are searched or seized, “[a] search or seizure is ordinarily unreasonable in the absence of individualized suspicion of wrongdoing.” </w:t>
      </w:r>
      <w:r w:rsidRPr="00842D3D">
        <w:rPr>
          <w:rFonts w:eastAsia="Calibri" w:cs="Times New Roman"/>
          <w:i/>
          <w:szCs w:val="24"/>
        </w:rPr>
        <w:t>City of Indianapolis v. Edmond</w:t>
      </w:r>
      <w:r w:rsidRPr="00842D3D">
        <w:rPr>
          <w:rFonts w:eastAsia="Calibri" w:cs="Times New Roman"/>
          <w:szCs w:val="24"/>
        </w:rPr>
        <w:t xml:space="preserve">, 531 U.S. 32, 37 (2000) (listing several limited circumstances where </w:t>
      </w:r>
      <w:proofErr w:type="spellStart"/>
      <w:r w:rsidRPr="00842D3D">
        <w:rPr>
          <w:rFonts w:eastAsia="Calibri" w:cs="Times New Roman"/>
          <w:szCs w:val="24"/>
        </w:rPr>
        <w:t>suspicionless</w:t>
      </w:r>
      <w:proofErr w:type="spellEnd"/>
      <w:r w:rsidRPr="00842D3D">
        <w:rPr>
          <w:rFonts w:eastAsia="Calibri" w:cs="Times New Roman"/>
          <w:szCs w:val="24"/>
        </w:rPr>
        <w:t xml:space="preserve"> searches are permitted). However, an officer’s lack of individualized suspicion does not, standing alone, make the search and seizure automatically unlawful. </w:t>
      </w:r>
      <w:r w:rsidRPr="00842D3D">
        <w:rPr>
          <w:rFonts w:eastAsia="Calibri" w:cs="Times New Roman"/>
          <w:i/>
          <w:szCs w:val="24"/>
        </w:rPr>
        <w:t>See Lyall v. City of Los Angeles</w:t>
      </w:r>
      <w:r w:rsidRPr="00842D3D">
        <w:rPr>
          <w:rFonts w:eastAsia="Calibri" w:cs="Times New Roman"/>
          <w:szCs w:val="24"/>
        </w:rPr>
        <w:t xml:space="preserve">, 807 F.3d 1178, 1194-95 (9th Cir. 2015) (“the fact that the officers’ reasonable suspicion of wrongdoing is not particularized to each member of a group of individuals present at the same location does not automatically mean that a search of the people in the group is unlawful”). The reasonableness of the search and seizure must be determined in light of the circumstances. </w:t>
      </w:r>
      <w:r w:rsidRPr="00842D3D">
        <w:rPr>
          <w:rFonts w:eastAsia="Calibri" w:cs="Times New Roman"/>
          <w:i/>
          <w:szCs w:val="24"/>
        </w:rPr>
        <w:t>Id</w:t>
      </w:r>
      <w:r w:rsidRPr="00842D3D">
        <w:rPr>
          <w:rFonts w:eastAsia="Calibri" w:cs="Times New Roman"/>
          <w:szCs w:val="24"/>
        </w:rPr>
        <w:t xml:space="preserve">. </w:t>
      </w:r>
    </w:p>
    <w:p w14:paraId="53E03B54" w14:textId="77777777" w:rsidR="00E90163" w:rsidRPr="00842D3D" w:rsidRDefault="00E90163" w:rsidP="00E90163">
      <w:pPr>
        <w:autoSpaceDE w:val="0"/>
        <w:autoSpaceDN w:val="0"/>
        <w:adjustRightInd w:val="0"/>
        <w:rPr>
          <w:rFonts w:eastAsia="Calibri" w:cs="Times New Roman"/>
          <w:b/>
          <w:szCs w:val="24"/>
        </w:rPr>
      </w:pPr>
    </w:p>
    <w:p w14:paraId="5C50EFEA" w14:textId="77777777" w:rsidR="00E90163" w:rsidRPr="00842D3D" w:rsidRDefault="00E90163" w:rsidP="00E90163">
      <w:pPr>
        <w:autoSpaceDE w:val="0"/>
        <w:autoSpaceDN w:val="0"/>
        <w:adjustRightInd w:val="0"/>
        <w:rPr>
          <w:rFonts w:eastAsia="Calibri" w:cs="Times New Roman"/>
          <w:b/>
          <w:szCs w:val="24"/>
        </w:rPr>
      </w:pPr>
      <w:r w:rsidRPr="00842D3D">
        <w:rPr>
          <w:rFonts w:eastAsia="Calibri" w:cs="Times New Roman"/>
          <w:b/>
          <w:szCs w:val="24"/>
        </w:rPr>
        <w:tab/>
      </w:r>
      <w:r w:rsidRPr="00842D3D">
        <w:rPr>
          <w:rFonts w:eastAsia="Calibri" w:cs="Times New Roman"/>
          <w:szCs w:val="24"/>
        </w:rPr>
        <w:t xml:space="preserve">“[R]ace is a trait that, when </w:t>
      </w:r>
      <w:r w:rsidRPr="00842D3D">
        <w:rPr>
          <w:rFonts w:eastAsia="Calibri" w:cs="Times New Roman"/>
          <w:i/>
          <w:szCs w:val="24"/>
        </w:rPr>
        <w:t>combined with others</w:t>
      </w:r>
      <w:r w:rsidRPr="00842D3D">
        <w:rPr>
          <w:rFonts w:eastAsia="Calibri" w:cs="Times New Roman"/>
          <w:szCs w:val="24"/>
        </w:rPr>
        <w:t xml:space="preserve">, can reasonably lead an officer to zero in on a particular suspect,” but “[r]ace is of little value in distinguishing one suspect from others, particularly where everyone in the pool of possible suspects is of the same race.” </w:t>
      </w:r>
      <w:r w:rsidRPr="00842D3D">
        <w:rPr>
          <w:rFonts w:eastAsia="Calibri" w:cs="Times New Roman"/>
          <w:i/>
          <w:szCs w:val="24"/>
        </w:rPr>
        <w:t>Johnson v. Bay Area Rapid Transit Dist.</w:t>
      </w:r>
      <w:r w:rsidRPr="00842D3D">
        <w:rPr>
          <w:rFonts w:eastAsia="Calibri" w:cs="Times New Roman"/>
          <w:szCs w:val="24"/>
        </w:rPr>
        <w:t>, 724 F.3d 1159, 1174-75 (9th Cir. 2013).</w:t>
      </w:r>
    </w:p>
    <w:p w14:paraId="2810BB27" w14:textId="77777777" w:rsidR="00E90163" w:rsidRPr="00842D3D" w:rsidRDefault="00E90163" w:rsidP="00E90163">
      <w:pPr>
        <w:autoSpaceDE w:val="0"/>
        <w:autoSpaceDN w:val="0"/>
        <w:adjustRightInd w:val="0"/>
        <w:rPr>
          <w:rFonts w:eastAsia="Calibri" w:cs="Times New Roman"/>
          <w:b/>
          <w:szCs w:val="24"/>
        </w:rPr>
      </w:pPr>
    </w:p>
    <w:p w14:paraId="24E88429" w14:textId="77777777" w:rsidR="00E90163" w:rsidRPr="00842D3D" w:rsidRDefault="00E90163" w:rsidP="00E90163">
      <w:pPr>
        <w:autoSpaceDE w:val="0"/>
        <w:autoSpaceDN w:val="0"/>
        <w:adjustRightInd w:val="0"/>
        <w:rPr>
          <w:rFonts w:eastAsia="Calibri" w:cs="Times New Roman"/>
          <w:b/>
          <w:szCs w:val="24"/>
        </w:rPr>
      </w:pPr>
      <w:r w:rsidRPr="00842D3D">
        <w:rPr>
          <w:rFonts w:eastAsia="Calibri" w:cs="Times New Roman"/>
          <w:b/>
          <w:szCs w:val="24"/>
        </w:rPr>
        <w:tab/>
      </w:r>
      <w:r w:rsidRPr="00842D3D">
        <w:rPr>
          <w:rFonts w:eastAsia="Calibri" w:cs="Times New Roman"/>
          <w:szCs w:val="24"/>
        </w:rPr>
        <w:t xml:space="preserve">In the case of a </w:t>
      </w:r>
      <w:r w:rsidRPr="00842D3D">
        <w:rPr>
          <w:rFonts w:eastAsia="Calibri" w:cs="Times New Roman"/>
          <w:i/>
          <w:szCs w:val="24"/>
        </w:rPr>
        <w:t xml:space="preserve">Terry </w:t>
      </w:r>
      <w:r w:rsidRPr="00842D3D">
        <w:rPr>
          <w:rFonts w:eastAsia="Calibri" w:cs="Times New Roman"/>
          <w:szCs w:val="24"/>
        </w:rPr>
        <w:t>stop to investigate a completed misdemeanor, the court must “consider the nature of the misdemeanor offense in question, with particular attention to the potential for ongoing or repeated danger (</w:t>
      </w:r>
      <w:r w:rsidRPr="00842D3D">
        <w:rPr>
          <w:rFonts w:eastAsia="Calibri" w:cs="Times New Roman"/>
          <w:i/>
          <w:szCs w:val="24"/>
        </w:rPr>
        <w:t>e.g.</w:t>
      </w:r>
      <w:r w:rsidRPr="00842D3D">
        <w:rPr>
          <w:rFonts w:eastAsia="Calibri" w:cs="Times New Roman"/>
          <w:szCs w:val="24"/>
        </w:rPr>
        <w:t>, drunken and/or reckless driving), and any risk of escalation (</w:t>
      </w:r>
      <w:r w:rsidRPr="00842D3D">
        <w:rPr>
          <w:rFonts w:eastAsia="Calibri" w:cs="Times New Roman"/>
          <w:i/>
          <w:szCs w:val="24"/>
        </w:rPr>
        <w:t>e.g.</w:t>
      </w:r>
      <w:r w:rsidRPr="00842D3D">
        <w:rPr>
          <w:rFonts w:eastAsia="Calibri" w:cs="Times New Roman"/>
          <w:szCs w:val="24"/>
        </w:rPr>
        <w:t xml:space="preserve">, disorderly conduct, assault, domestic violence)” when determining “whether the Fourth Amendment permits an officer to detain a suspected misdemeanant.” </w:t>
      </w:r>
      <w:r w:rsidRPr="00842D3D">
        <w:rPr>
          <w:rFonts w:eastAsia="Calibri" w:cs="Times New Roman"/>
          <w:i/>
          <w:szCs w:val="24"/>
        </w:rPr>
        <w:t>Johnson</w:t>
      </w:r>
      <w:r w:rsidRPr="00842D3D">
        <w:rPr>
          <w:rFonts w:eastAsia="Calibri" w:cs="Times New Roman"/>
          <w:szCs w:val="24"/>
        </w:rPr>
        <w:t>, 724 F.3d at 1175.</w:t>
      </w:r>
    </w:p>
    <w:p w14:paraId="0722ED31" w14:textId="77777777" w:rsidR="00E90163" w:rsidRPr="00842D3D" w:rsidRDefault="00E90163" w:rsidP="00E90163">
      <w:pPr>
        <w:autoSpaceDE w:val="0"/>
        <w:autoSpaceDN w:val="0"/>
        <w:adjustRightInd w:val="0"/>
        <w:rPr>
          <w:rFonts w:eastAsia="Calibri" w:cs="Times New Roman"/>
          <w:b/>
          <w:szCs w:val="24"/>
        </w:rPr>
      </w:pPr>
    </w:p>
    <w:p w14:paraId="61F23189" w14:textId="77777777" w:rsidR="00E90163" w:rsidRPr="00842D3D" w:rsidRDefault="00E90163" w:rsidP="00E90163">
      <w:pPr>
        <w:autoSpaceDE w:val="0"/>
        <w:autoSpaceDN w:val="0"/>
        <w:adjustRightInd w:val="0"/>
        <w:rPr>
          <w:rFonts w:eastAsia="Calibri" w:cs="Times New Roman"/>
          <w:i/>
          <w:szCs w:val="24"/>
        </w:rPr>
      </w:pPr>
      <w:r w:rsidRPr="00842D3D">
        <w:rPr>
          <w:rFonts w:eastAsia="Calibri" w:cs="Times New Roman"/>
          <w:b/>
          <w:szCs w:val="24"/>
        </w:rPr>
        <w:tab/>
      </w:r>
      <w:r w:rsidRPr="00842D3D">
        <w:rPr>
          <w:rFonts w:eastAsia="Calibri" w:cs="Times New Roman"/>
          <w:szCs w:val="24"/>
        </w:rPr>
        <w:t xml:space="preserve">“There is no bright-line rule to determine when an investigatory stop becomes an arrest.” </w:t>
      </w:r>
      <w:r w:rsidRPr="00842D3D">
        <w:rPr>
          <w:rFonts w:eastAsia="Calibri" w:cs="Times New Roman"/>
          <w:i/>
          <w:szCs w:val="24"/>
        </w:rPr>
        <w:t>Washington v. Lambert</w:t>
      </w:r>
      <w:r w:rsidRPr="00842D3D">
        <w:rPr>
          <w:rFonts w:eastAsia="Calibri" w:cs="Times New Roman"/>
          <w:szCs w:val="24"/>
        </w:rPr>
        <w:t xml:space="preserve">, 98 F.3d 1181, 1185 (9th Cir. 1996) (citing </w:t>
      </w:r>
      <w:r w:rsidRPr="00842D3D">
        <w:rPr>
          <w:rFonts w:eastAsia="Calibri" w:cs="Times New Roman"/>
          <w:i/>
          <w:szCs w:val="24"/>
        </w:rPr>
        <w:t>United States v. Parr</w:t>
      </w:r>
      <w:r w:rsidRPr="00842D3D">
        <w:rPr>
          <w:rFonts w:eastAsia="Calibri" w:cs="Times New Roman"/>
          <w:szCs w:val="24"/>
        </w:rPr>
        <w:t xml:space="preserve">, 843 F.2d 1228, 1231 (9th Cir. 1988)). The analysis depends on the “totality of the circumstances” and is “fact-specific.” </w:t>
      </w:r>
      <w:r w:rsidRPr="00842D3D">
        <w:rPr>
          <w:rFonts w:eastAsia="Calibri" w:cs="Times New Roman"/>
          <w:i/>
          <w:szCs w:val="24"/>
        </w:rPr>
        <w:t>Id.</w:t>
      </w:r>
    </w:p>
    <w:p w14:paraId="23635294" w14:textId="77777777" w:rsidR="00E90163" w:rsidRPr="00842D3D" w:rsidRDefault="00E90163" w:rsidP="00E90163">
      <w:pPr>
        <w:autoSpaceDE w:val="0"/>
        <w:autoSpaceDN w:val="0"/>
        <w:adjustRightInd w:val="0"/>
        <w:rPr>
          <w:rFonts w:eastAsia="Calibri" w:cs="Times New Roman"/>
          <w:i/>
          <w:szCs w:val="24"/>
        </w:rPr>
      </w:pPr>
    </w:p>
    <w:p w14:paraId="3463AA45" w14:textId="77777777" w:rsidR="00E90163" w:rsidRPr="00842D3D" w:rsidRDefault="00E90163" w:rsidP="00E90163">
      <w:pPr>
        <w:autoSpaceDE w:val="0"/>
        <w:autoSpaceDN w:val="0"/>
        <w:adjustRightInd w:val="0"/>
        <w:ind w:left="720" w:right="720"/>
        <w:jc w:val="both"/>
        <w:rPr>
          <w:rFonts w:eastAsia="Calibri" w:cs="Times New Roman"/>
          <w:b/>
          <w:szCs w:val="24"/>
        </w:rPr>
      </w:pPr>
      <w:r w:rsidRPr="00842D3D">
        <w:rPr>
          <w:rFonts w:eastAsia="Calibri" w:cs="Times New Roman"/>
          <w:szCs w:val="24"/>
        </w:rPr>
        <w:t xml:space="preserve">In looking at the totality of the circumstances, we consider both the intrusiveness of the stop, </w:t>
      </w:r>
      <w:r w:rsidRPr="00842D3D">
        <w:rPr>
          <w:rFonts w:eastAsia="Calibri" w:cs="Times New Roman"/>
          <w:i/>
          <w:szCs w:val="24"/>
        </w:rPr>
        <w:t>i.e.</w:t>
      </w:r>
      <w:r w:rsidRPr="00842D3D">
        <w:rPr>
          <w:rFonts w:eastAsia="Calibri" w:cs="Times New Roman"/>
          <w:szCs w:val="24"/>
        </w:rPr>
        <w:t xml:space="preserve">, the aggressiveness of the police methods and how much the plaintiff’s liberty was restricted, and the justification for the use of such tactics, </w:t>
      </w:r>
      <w:r w:rsidRPr="00842D3D">
        <w:rPr>
          <w:rFonts w:eastAsia="Calibri" w:cs="Times New Roman"/>
          <w:i/>
          <w:szCs w:val="24"/>
        </w:rPr>
        <w:t>i.e</w:t>
      </w:r>
      <w:r w:rsidRPr="00842D3D">
        <w:rPr>
          <w:rFonts w:eastAsia="Calibri" w:cs="Times New Roman"/>
          <w:szCs w:val="24"/>
        </w:rPr>
        <w:t xml:space="preserve">., whether the officer had sufficient basis to fear for his safety to warrant the </w:t>
      </w:r>
      <w:r w:rsidRPr="00842D3D">
        <w:rPr>
          <w:rFonts w:eastAsia="Calibri" w:cs="Times New Roman"/>
          <w:szCs w:val="24"/>
        </w:rPr>
        <w:lastRenderedPageBreak/>
        <w:t xml:space="preserve">intrusiveness of the action taken. In short, we decide whether the police action constitutes a </w:t>
      </w:r>
      <w:r w:rsidRPr="00842D3D">
        <w:rPr>
          <w:rFonts w:eastAsia="Calibri" w:cs="Times New Roman"/>
          <w:i/>
          <w:szCs w:val="24"/>
        </w:rPr>
        <w:t>Terry</w:t>
      </w:r>
      <w:r w:rsidRPr="00842D3D">
        <w:rPr>
          <w:rFonts w:eastAsia="Calibri" w:cs="Times New Roman"/>
          <w:szCs w:val="24"/>
        </w:rPr>
        <w:t xml:space="preserve"> stop or an arrest by evaluating not only how intrusive the stop was, but also whether the methods used were reasonable given the specific circumstances. As a result, we have held that while certain police actions constitute an arrest in certain circumstances, </w:t>
      </w:r>
      <w:r w:rsidRPr="00842D3D">
        <w:rPr>
          <w:rFonts w:eastAsia="Calibri" w:cs="Times New Roman"/>
          <w:i/>
          <w:szCs w:val="24"/>
        </w:rPr>
        <w:t>e.g.</w:t>
      </w:r>
      <w:r w:rsidRPr="00842D3D">
        <w:rPr>
          <w:rFonts w:eastAsia="Calibri" w:cs="Times New Roman"/>
          <w:szCs w:val="24"/>
        </w:rPr>
        <w:t>, where the “suspects” are cooperative, those same actions may not constitute an arrest where the suspect is uncooperative or the police have specific reasons to believe that a serious threat to the safety of the officers exists. The relevant inquiry is always one of reasonableness under the circumstances.</w:t>
      </w:r>
    </w:p>
    <w:p w14:paraId="6E87DCE0" w14:textId="77777777" w:rsidR="00E90163" w:rsidRPr="00842D3D" w:rsidRDefault="00E90163" w:rsidP="00E90163">
      <w:pPr>
        <w:autoSpaceDE w:val="0"/>
        <w:autoSpaceDN w:val="0"/>
        <w:adjustRightInd w:val="0"/>
        <w:rPr>
          <w:rFonts w:eastAsia="Calibri" w:cs="Times New Roman"/>
          <w:b/>
          <w:szCs w:val="24"/>
        </w:rPr>
      </w:pPr>
    </w:p>
    <w:p w14:paraId="6D3165F9" w14:textId="77777777" w:rsidR="00E90163" w:rsidRPr="00842D3D" w:rsidRDefault="00E90163" w:rsidP="00E90163">
      <w:pPr>
        <w:autoSpaceDE w:val="0"/>
        <w:autoSpaceDN w:val="0"/>
        <w:adjustRightInd w:val="0"/>
        <w:rPr>
          <w:rFonts w:eastAsia="Calibri" w:cs="Times New Roman"/>
          <w:szCs w:val="24"/>
        </w:rPr>
      </w:pPr>
      <w:r w:rsidRPr="00842D3D">
        <w:rPr>
          <w:rFonts w:eastAsia="Calibri" w:cs="Times New Roman"/>
          <w:i/>
          <w:szCs w:val="24"/>
        </w:rPr>
        <w:t>Id.</w:t>
      </w:r>
      <w:r w:rsidRPr="00842D3D">
        <w:rPr>
          <w:rFonts w:eastAsia="Calibri" w:cs="Times New Roman"/>
          <w:szCs w:val="24"/>
        </w:rPr>
        <w:t xml:space="preserve"> (citations omitted); </w:t>
      </w:r>
      <w:r w:rsidRPr="00842D3D">
        <w:rPr>
          <w:rFonts w:eastAsia="Calibri" w:cs="Times New Roman"/>
          <w:i/>
          <w:szCs w:val="24"/>
        </w:rPr>
        <w:t>see also Lyall</w:t>
      </w:r>
      <w:r w:rsidRPr="00842D3D">
        <w:rPr>
          <w:rFonts w:eastAsia="Calibri" w:cs="Times New Roman"/>
          <w:szCs w:val="24"/>
        </w:rPr>
        <w:t xml:space="preserve">, 807 F.3d at 1193 n.13 (permitting the jury to conclude that detention of plaintiffs for 30-45 minutes for field identification did not transform detention from a </w:t>
      </w:r>
      <w:r w:rsidRPr="00842D3D">
        <w:rPr>
          <w:rFonts w:eastAsia="Calibri" w:cs="Times New Roman"/>
          <w:i/>
          <w:szCs w:val="24"/>
        </w:rPr>
        <w:t xml:space="preserve">Terry </w:t>
      </w:r>
      <w:r w:rsidRPr="00842D3D">
        <w:rPr>
          <w:rFonts w:eastAsia="Calibri" w:cs="Times New Roman"/>
          <w:szCs w:val="24"/>
        </w:rPr>
        <w:t>stop into an arrest requiring a more demanding showing of probable cause).</w:t>
      </w:r>
    </w:p>
    <w:p w14:paraId="1B21F12D" w14:textId="77777777" w:rsidR="00E90163" w:rsidRPr="00842D3D" w:rsidRDefault="00E90163" w:rsidP="00E90163">
      <w:pPr>
        <w:autoSpaceDE w:val="0"/>
        <w:autoSpaceDN w:val="0"/>
        <w:adjustRightInd w:val="0"/>
        <w:rPr>
          <w:rFonts w:eastAsia="Calibri" w:cs="Times New Roman"/>
          <w:szCs w:val="24"/>
        </w:rPr>
      </w:pPr>
    </w:p>
    <w:p w14:paraId="002E1E99" w14:textId="77777777" w:rsidR="00E90163" w:rsidRPr="00842D3D" w:rsidRDefault="00E90163" w:rsidP="00E90163">
      <w:pPr>
        <w:autoSpaceDE w:val="0"/>
        <w:autoSpaceDN w:val="0"/>
        <w:adjustRightInd w:val="0"/>
        <w:rPr>
          <w:rFonts w:eastAsia="Calibri" w:cs="Times New Roman"/>
          <w:szCs w:val="24"/>
        </w:rPr>
      </w:pPr>
      <w:r w:rsidRPr="00842D3D">
        <w:rPr>
          <w:rFonts w:eastAsia="Calibri" w:cs="Times New Roman"/>
          <w:szCs w:val="24"/>
        </w:rPr>
        <w:tab/>
        <w:t xml:space="preserve">In </w:t>
      </w:r>
      <w:r w:rsidRPr="00842D3D">
        <w:rPr>
          <w:rFonts w:eastAsia="Calibri" w:cs="Times New Roman"/>
          <w:i/>
          <w:szCs w:val="24"/>
        </w:rPr>
        <w:t>Reynaga Hernandez v. Skinner</w:t>
      </w:r>
      <w:r w:rsidRPr="00842D3D">
        <w:rPr>
          <w:rFonts w:eastAsia="Calibri" w:cs="Times New Roman"/>
          <w:szCs w:val="24"/>
        </w:rPr>
        <w:t xml:space="preserve">, 969 F.3d 930, 937-40 (9th Cir. 2020), the court held that detaining individuals based solely on reasonable suspicion or knowledge that a person was unlawfully present in the United States, which is not a crime under 8 U.S.C. § 1325, is not sufficiently “premised on criminality” to justify a stop under </w:t>
      </w:r>
      <w:r w:rsidRPr="00842D3D">
        <w:rPr>
          <w:rFonts w:eastAsia="Calibri" w:cs="Times New Roman"/>
          <w:i/>
          <w:szCs w:val="24"/>
        </w:rPr>
        <w:t>Terry</w:t>
      </w:r>
      <w:r w:rsidRPr="00842D3D">
        <w:rPr>
          <w:rFonts w:eastAsia="Calibri" w:cs="Times New Roman"/>
          <w:szCs w:val="24"/>
        </w:rPr>
        <w:t xml:space="preserve">. </w:t>
      </w:r>
      <w:r w:rsidRPr="00842D3D">
        <w:rPr>
          <w:rFonts w:eastAsia="Calibri" w:cs="Times New Roman"/>
          <w:i/>
          <w:szCs w:val="24"/>
        </w:rPr>
        <w:t>See also United States v. Cabrera</w:t>
      </w:r>
      <w:r w:rsidRPr="00842D3D">
        <w:rPr>
          <w:rFonts w:eastAsia="Calibri" w:cs="Times New Roman"/>
          <w:szCs w:val="24"/>
        </w:rPr>
        <w:t xml:space="preserve">, 83 F.4th 729, 735 (9th Cir. 2023) (explaining that a stop meets the requirements of </w:t>
      </w:r>
      <w:r w:rsidRPr="00842D3D">
        <w:rPr>
          <w:rFonts w:eastAsia="Calibri" w:cs="Times New Roman"/>
          <w:i/>
          <w:szCs w:val="24"/>
        </w:rPr>
        <w:t>Terry</w:t>
      </w:r>
      <w:r w:rsidRPr="00842D3D">
        <w:rPr>
          <w:rFonts w:eastAsia="Calibri" w:cs="Times New Roman"/>
          <w:szCs w:val="24"/>
        </w:rPr>
        <w:t xml:space="preserve"> when an officer has reasonable suspicion to believe that the defendant may have been entering the country illegally, the detention was brief, the limited restraint was reasonable under the circumstances, and the questioning was reasonably related to the justification for the stop).</w:t>
      </w:r>
    </w:p>
    <w:p w14:paraId="04587F7E" w14:textId="77777777" w:rsidR="00E90163" w:rsidRPr="00842D3D" w:rsidRDefault="00E90163" w:rsidP="00E90163">
      <w:pPr>
        <w:autoSpaceDE w:val="0"/>
        <w:autoSpaceDN w:val="0"/>
        <w:adjustRightInd w:val="0"/>
        <w:jc w:val="right"/>
        <w:rPr>
          <w:rFonts w:eastAsia="Calibri" w:cs="Times New Roman"/>
          <w:i/>
          <w:iCs/>
          <w:szCs w:val="24"/>
        </w:rPr>
      </w:pPr>
    </w:p>
    <w:p w14:paraId="2D4FC971" w14:textId="521FC92F" w:rsidR="00B03D36" w:rsidRPr="00547BD9" w:rsidRDefault="00E90163" w:rsidP="00E90163">
      <w:pPr>
        <w:autoSpaceDE w:val="0"/>
        <w:autoSpaceDN w:val="0"/>
        <w:adjustRightInd w:val="0"/>
        <w:jc w:val="right"/>
      </w:pPr>
      <w:r w:rsidRPr="00842D3D">
        <w:rPr>
          <w:rFonts w:eastAsia="Calibri" w:cs="Times New Roman"/>
          <w:i/>
          <w:iCs/>
          <w:szCs w:val="24"/>
        </w:rPr>
        <w:t>Revised June 2025</w:t>
      </w:r>
    </w:p>
    <w:sectPr w:rsidR="00B03D36" w:rsidRPr="00547B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FB"/>
    <w:rsid w:val="001B2DC0"/>
    <w:rsid w:val="001F5CAF"/>
    <w:rsid w:val="00527AD1"/>
    <w:rsid w:val="00547BD9"/>
    <w:rsid w:val="00610EC8"/>
    <w:rsid w:val="006B4AF0"/>
    <w:rsid w:val="00703FC5"/>
    <w:rsid w:val="00922469"/>
    <w:rsid w:val="00977242"/>
    <w:rsid w:val="00B03D36"/>
    <w:rsid w:val="00B34C0A"/>
    <w:rsid w:val="00B96321"/>
    <w:rsid w:val="00C729CC"/>
    <w:rsid w:val="00D56588"/>
    <w:rsid w:val="00DA6AD6"/>
    <w:rsid w:val="00DC5CFB"/>
    <w:rsid w:val="00E90163"/>
    <w:rsid w:val="00F24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61A6C"/>
  <w15:chartTrackingRefBased/>
  <w15:docId w15:val="{A4859FDD-F396-4ADC-8C99-91602387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CFB"/>
    <w:pPr>
      <w:spacing w:after="0" w:line="240" w:lineRule="auto"/>
    </w:pPr>
    <w:rPr>
      <w:rFonts w:ascii="Times New Roman" w:hAnsi="Times New Roman"/>
      <w:kern w:val="0"/>
      <w:szCs w:val="22"/>
      <w14:ligatures w14:val="none"/>
    </w:rPr>
  </w:style>
  <w:style w:type="paragraph" w:styleId="Heading1">
    <w:name w:val="heading 1"/>
    <w:aliases w:val="JIC Headings"/>
    <w:basedOn w:val="Normal"/>
    <w:next w:val="Normal"/>
    <w:link w:val="Heading1Char"/>
    <w:uiPriority w:val="9"/>
    <w:qFormat/>
    <w:rsid w:val="00922469"/>
    <w:pPr>
      <w:keepNext/>
      <w:keepLines/>
      <w:jc w:val="center"/>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unhideWhenUsed/>
    <w:qFormat/>
    <w:rsid w:val="00DC5C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5C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5C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5C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5C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C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C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C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IC Headings Char"/>
    <w:basedOn w:val="DefaultParagraphFont"/>
    <w:link w:val="Heading1"/>
    <w:uiPriority w:val="9"/>
    <w:rsid w:val="00922469"/>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rsid w:val="00DC5C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5C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5C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5C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5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CFB"/>
    <w:rPr>
      <w:rFonts w:eastAsiaTheme="majorEastAsia" w:cstheme="majorBidi"/>
      <w:color w:val="272727" w:themeColor="text1" w:themeTint="D8"/>
    </w:rPr>
  </w:style>
  <w:style w:type="paragraph" w:styleId="Title">
    <w:name w:val="Title"/>
    <w:basedOn w:val="Normal"/>
    <w:next w:val="Normal"/>
    <w:link w:val="TitleChar"/>
    <w:uiPriority w:val="10"/>
    <w:qFormat/>
    <w:rsid w:val="00DC5C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CFB"/>
    <w:pPr>
      <w:spacing w:before="160"/>
      <w:jc w:val="center"/>
    </w:pPr>
    <w:rPr>
      <w:i/>
      <w:iCs/>
      <w:color w:val="404040" w:themeColor="text1" w:themeTint="BF"/>
    </w:rPr>
  </w:style>
  <w:style w:type="character" w:customStyle="1" w:styleId="QuoteChar">
    <w:name w:val="Quote Char"/>
    <w:basedOn w:val="DefaultParagraphFont"/>
    <w:link w:val="Quote"/>
    <w:uiPriority w:val="29"/>
    <w:rsid w:val="00DC5CFB"/>
    <w:rPr>
      <w:i/>
      <w:iCs/>
      <w:color w:val="404040" w:themeColor="text1" w:themeTint="BF"/>
    </w:rPr>
  </w:style>
  <w:style w:type="paragraph" w:styleId="ListParagraph">
    <w:name w:val="List Paragraph"/>
    <w:basedOn w:val="Normal"/>
    <w:uiPriority w:val="34"/>
    <w:qFormat/>
    <w:rsid w:val="00DC5CFB"/>
    <w:pPr>
      <w:ind w:left="720"/>
      <w:contextualSpacing/>
    </w:pPr>
  </w:style>
  <w:style w:type="character" w:styleId="IntenseEmphasis">
    <w:name w:val="Intense Emphasis"/>
    <w:basedOn w:val="DefaultParagraphFont"/>
    <w:uiPriority w:val="21"/>
    <w:qFormat/>
    <w:rsid w:val="00DC5CFB"/>
    <w:rPr>
      <w:i/>
      <w:iCs/>
      <w:color w:val="0F4761" w:themeColor="accent1" w:themeShade="BF"/>
    </w:rPr>
  </w:style>
  <w:style w:type="paragraph" w:styleId="IntenseQuote">
    <w:name w:val="Intense Quote"/>
    <w:basedOn w:val="Normal"/>
    <w:next w:val="Normal"/>
    <w:link w:val="IntenseQuoteChar"/>
    <w:uiPriority w:val="30"/>
    <w:qFormat/>
    <w:rsid w:val="00DC5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5CFB"/>
    <w:rPr>
      <w:i/>
      <w:iCs/>
      <w:color w:val="0F4761" w:themeColor="accent1" w:themeShade="BF"/>
    </w:rPr>
  </w:style>
  <w:style w:type="character" w:styleId="IntenseReference">
    <w:name w:val="Intense Reference"/>
    <w:basedOn w:val="DefaultParagraphFont"/>
    <w:uiPriority w:val="32"/>
    <w:qFormat/>
    <w:rsid w:val="00DC5CFB"/>
    <w:rPr>
      <w:b/>
      <w:bCs/>
      <w:smallCaps/>
      <w:color w:val="0F4761" w:themeColor="accent1" w:themeShade="BF"/>
      <w:spacing w:val="5"/>
    </w:rPr>
  </w:style>
  <w:style w:type="paragraph" w:styleId="Revision">
    <w:name w:val="Revision"/>
    <w:hidden/>
    <w:uiPriority w:val="99"/>
    <w:semiHidden/>
    <w:rsid w:val="006B4AF0"/>
    <w:pPr>
      <w:spacing w:after="0" w:line="240" w:lineRule="auto"/>
    </w:pPr>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1795</Words>
  <Characters>10236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United States Courts</Company>
  <LinksUpToDate>false</LinksUpToDate>
  <CharactersWithSpaces>12007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Aejung Yoon</cp:lastModifiedBy>
  <cp:revision>8</cp:revision>
  <dcterms:created xsi:type="dcterms:W3CDTF">2025-01-08T00:18:00Z</dcterms:created>
  <dcterms:modified xsi:type="dcterms:W3CDTF">2026-02-26T23:39:00Z</dcterms:modified>
</cp:coreProperties>
</file>