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B7AF" w14:textId="77777777" w:rsidR="004E5E65" w:rsidRPr="004913BA" w:rsidRDefault="004E5E65" w:rsidP="004E5E65">
      <w:pPr>
        <w:pStyle w:val="Heading1"/>
      </w:pPr>
      <w:bookmarkStart w:id="0" w:name="_Toc167357270"/>
      <w:bookmarkStart w:id="1" w:name="_Toc184822665"/>
      <w:r w:rsidRPr="004913BA">
        <w:t>9.24 Particular Rights—Fourth Amendment—Unreasonable Seizure of Person—Detention During Execution of Search Warrant</w:t>
      </w:r>
      <w:bookmarkEnd w:id="0"/>
      <w:bookmarkEnd w:id="1"/>
    </w:p>
    <w:p w14:paraId="40A0A365" w14:textId="77777777" w:rsidR="004E5E65" w:rsidRPr="004913BA" w:rsidRDefault="004E5E65" w:rsidP="004E5E65"/>
    <w:p w14:paraId="6DA925F7" w14:textId="77777777" w:rsidR="004E5E65" w:rsidRPr="004913BA" w:rsidRDefault="004E5E65" w:rsidP="004E5E65">
      <w:pPr>
        <w:autoSpaceDE w:val="0"/>
        <w:autoSpaceDN w:val="0"/>
        <w:adjustRightInd w:val="0"/>
      </w:pPr>
      <w:r w:rsidRPr="004913BA">
        <w:rPr>
          <w:b/>
        </w:rPr>
        <w:tab/>
      </w:r>
      <w:r w:rsidRPr="004913BA">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0D22717D" w14:textId="77777777" w:rsidR="004E5E65" w:rsidRPr="004913BA" w:rsidRDefault="004E5E65" w:rsidP="004E5E65">
      <w:pPr>
        <w:autoSpaceDE w:val="0"/>
        <w:autoSpaceDN w:val="0"/>
        <w:adjustRightInd w:val="0"/>
      </w:pPr>
    </w:p>
    <w:p w14:paraId="7D688C84" w14:textId="77777777" w:rsidR="004E5E65" w:rsidRPr="004913BA" w:rsidRDefault="004E5E65" w:rsidP="004E5E65">
      <w:pPr>
        <w:autoSpaceDE w:val="0"/>
        <w:autoSpaceDN w:val="0"/>
        <w:adjustRightInd w:val="0"/>
      </w:pPr>
      <w:r w:rsidRPr="004913BA">
        <w:tab/>
        <w:t>To prove the seizure in this case was unreasonable, the plaintiff must prove by a preponderance of the evidence that [he] [she] [</w:t>
      </w:r>
      <w:r w:rsidRPr="00FC46FC">
        <w:t>other pronoun</w:t>
      </w:r>
      <w:r w:rsidRPr="004913BA">
        <w:t xml:space="preserve">] was detained in an unreasonable manner or for an unreasonable </w:t>
      </w:r>
      <w:proofErr w:type="gramStart"/>
      <w:r w:rsidRPr="004913BA">
        <w:t>period of time</w:t>
      </w:r>
      <w:proofErr w:type="gramEnd"/>
      <w:r w:rsidRPr="004913BA">
        <w:t xml:space="preserve"> after the search was completed or both.  </w:t>
      </w:r>
      <w:r w:rsidRPr="004913BA">
        <w:tab/>
      </w:r>
    </w:p>
    <w:p w14:paraId="2EE3A86D" w14:textId="77777777" w:rsidR="004E5E65" w:rsidRPr="004913BA" w:rsidRDefault="004E5E65" w:rsidP="004E5E65">
      <w:pPr>
        <w:autoSpaceDE w:val="0"/>
        <w:autoSpaceDN w:val="0"/>
        <w:adjustRightInd w:val="0"/>
      </w:pPr>
    </w:p>
    <w:p w14:paraId="6EC13CD4" w14:textId="77777777" w:rsidR="004E5E65" w:rsidRPr="004913BA" w:rsidRDefault="004E5E65" w:rsidP="004E5E65">
      <w:pPr>
        <w:autoSpaceDE w:val="0"/>
        <w:autoSpaceDN w:val="0"/>
        <w:adjustRightInd w:val="0"/>
      </w:pPr>
      <w:r w:rsidRPr="004913BA">
        <w:tab/>
      </w:r>
      <w:bookmarkStart w:id="2" w:name="_Hlk203995696"/>
      <w:r w:rsidRPr="004913BA">
        <w:t xml:space="preserve">In determining whether the officer[s] detained the plaintiff unreasonably in this case, consider </w:t>
      </w:r>
      <w:proofErr w:type="gramStart"/>
      <w:r w:rsidRPr="004913BA">
        <w:t>all of</w:t>
      </w:r>
      <w:proofErr w:type="gramEnd"/>
      <w:r w:rsidRPr="004913BA">
        <w:t xml:space="preserve"> the circumstances known to the officer[s] on the scene, including:</w:t>
      </w:r>
    </w:p>
    <w:p w14:paraId="06478C0D" w14:textId="77777777" w:rsidR="004E5E65" w:rsidRPr="004913BA" w:rsidRDefault="004E5E65" w:rsidP="004E5E65">
      <w:pPr>
        <w:autoSpaceDE w:val="0"/>
        <w:autoSpaceDN w:val="0"/>
        <w:adjustRightInd w:val="0"/>
      </w:pPr>
    </w:p>
    <w:p w14:paraId="01D48C18" w14:textId="6941DC3F" w:rsidR="004E5E65" w:rsidRPr="004913BA" w:rsidRDefault="006E5BB1" w:rsidP="004E5E65">
      <w:pPr>
        <w:autoSpaceDE w:val="0"/>
        <w:autoSpaceDN w:val="0"/>
        <w:adjustRightInd w:val="0"/>
        <w:ind w:left="1440" w:hanging="720"/>
      </w:pPr>
      <w:r>
        <w:t>(</w:t>
      </w:r>
      <w:r w:rsidR="004E5E65" w:rsidRPr="004913BA">
        <w:t>1</w:t>
      </w:r>
      <w:r>
        <w:t>)</w:t>
      </w:r>
      <w:r w:rsidR="004E5E65" w:rsidRPr="004913BA">
        <w:tab/>
        <w:t xml:space="preserve">the severity of the suspected crime or other circumstances that led to the search </w:t>
      </w:r>
      <w:proofErr w:type="gramStart"/>
      <w:r w:rsidR="004E5E65" w:rsidRPr="004913BA">
        <w:t>warrant;</w:t>
      </w:r>
      <w:proofErr w:type="gramEnd"/>
    </w:p>
    <w:p w14:paraId="520F1F21" w14:textId="77777777" w:rsidR="004E5E65" w:rsidRPr="004913BA" w:rsidRDefault="004E5E65" w:rsidP="004E5E65">
      <w:pPr>
        <w:autoSpaceDE w:val="0"/>
        <w:autoSpaceDN w:val="0"/>
        <w:adjustRightInd w:val="0"/>
        <w:ind w:left="1440" w:hanging="720"/>
      </w:pPr>
    </w:p>
    <w:p w14:paraId="292A077D" w14:textId="1EAB506E" w:rsidR="004E5E65" w:rsidRPr="004913BA" w:rsidRDefault="006E5BB1" w:rsidP="004E5E65">
      <w:pPr>
        <w:autoSpaceDE w:val="0"/>
        <w:autoSpaceDN w:val="0"/>
        <w:adjustRightInd w:val="0"/>
        <w:ind w:left="1440" w:hanging="720"/>
      </w:pPr>
      <w:r>
        <w:t>(</w:t>
      </w:r>
      <w:r w:rsidR="004E5E65" w:rsidRPr="004913BA">
        <w:t>2</w:t>
      </w:r>
      <w:r>
        <w:t>)</w:t>
      </w:r>
      <w:r w:rsidR="004E5E65" w:rsidRPr="004913BA">
        <w:tab/>
        <w:t xml:space="preserve">whether the plaintiff was the subject of the investigation that led to the search </w:t>
      </w:r>
      <w:proofErr w:type="gramStart"/>
      <w:r w:rsidR="004E5E65" w:rsidRPr="004913BA">
        <w:t>warrant;</w:t>
      </w:r>
      <w:proofErr w:type="gramEnd"/>
    </w:p>
    <w:p w14:paraId="4C6E105D" w14:textId="77777777" w:rsidR="004E5E65" w:rsidRPr="004913BA" w:rsidRDefault="004E5E65" w:rsidP="004E5E65">
      <w:pPr>
        <w:autoSpaceDE w:val="0"/>
        <w:autoSpaceDN w:val="0"/>
        <w:adjustRightInd w:val="0"/>
        <w:ind w:left="1440" w:hanging="720"/>
      </w:pPr>
    </w:p>
    <w:p w14:paraId="3576A457" w14:textId="2D3942E3" w:rsidR="004E5E65" w:rsidRPr="004913BA" w:rsidRDefault="006E5BB1" w:rsidP="004E5E65">
      <w:pPr>
        <w:autoSpaceDE w:val="0"/>
        <w:autoSpaceDN w:val="0"/>
        <w:adjustRightInd w:val="0"/>
        <w:ind w:left="1440" w:hanging="720"/>
      </w:pPr>
      <w:r>
        <w:t>(</w:t>
      </w:r>
      <w:r w:rsidR="004E5E65" w:rsidRPr="004913BA">
        <w:t>3</w:t>
      </w:r>
      <w:r>
        <w:t>)</w:t>
      </w:r>
      <w:r w:rsidR="004E5E65" w:rsidRPr="004913BA">
        <w:tab/>
        <w:t xml:space="preserve">whether the plaintiff posed an immediate threat to the safety of the officer[s] or to others or to the ability of the officer[s] to conduct the search </w:t>
      </w:r>
      <w:proofErr w:type="gramStart"/>
      <w:r w:rsidR="004E5E65" w:rsidRPr="004913BA">
        <w:t>safely;</w:t>
      </w:r>
      <w:proofErr w:type="gramEnd"/>
    </w:p>
    <w:p w14:paraId="238B6E4E" w14:textId="77777777" w:rsidR="004E5E65" w:rsidRPr="004913BA" w:rsidRDefault="004E5E65" w:rsidP="004E5E65">
      <w:pPr>
        <w:autoSpaceDE w:val="0"/>
        <w:autoSpaceDN w:val="0"/>
        <w:adjustRightInd w:val="0"/>
        <w:ind w:left="1440" w:hanging="720"/>
      </w:pPr>
    </w:p>
    <w:p w14:paraId="371371DD" w14:textId="08C7B76A" w:rsidR="004E5E65" w:rsidRPr="004913BA" w:rsidRDefault="006E5BB1" w:rsidP="004E5E65">
      <w:pPr>
        <w:autoSpaceDE w:val="0"/>
        <w:autoSpaceDN w:val="0"/>
        <w:adjustRightInd w:val="0"/>
        <w:ind w:left="1440" w:hanging="720"/>
      </w:pPr>
      <w:r>
        <w:t>(</w:t>
      </w:r>
      <w:r w:rsidR="004E5E65" w:rsidRPr="004913BA">
        <w:t>4</w:t>
      </w:r>
      <w:r>
        <w:t>)</w:t>
      </w:r>
      <w:r w:rsidR="004E5E65" w:rsidRPr="004913BA">
        <w:tab/>
        <w:t xml:space="preserve">whether the plaintiff was actively resisting arrest or attempting to </w:t>
      </w:r>
      <w:proofErr w:type="gramStart"/>
      <w:r w:rsidR="004E5E65" w:rsidRPr="004913BA">
        <w:t>flee;</w:t>
      </w:r>
      <w:proofErr w:type="gramEnd"/>
    </w:p>
    <w:p w14:paraId="000408BA" w14:textId="77777777" w:rsidR="004E5E65" w:rsidRPr="004913BA" w:rsidRDefault="004E5E65" w:rsidP="004E5E65">
      <w:pPr>
        <w:autoSpaceDE w:val="0"/>
        <w:autoSpaceDN w:val="0"/>
        <w:adjustRightInd w:val="0"/>
        <w:ind w:left="1440" w:hanging="720"/>
      </w:pPr>
    </w:p>
    <w:p w14:paraId="35CF6817" w14:textId="70D412C7" w:rsidR="004E5E65" w:rsidRPr="004913BA" w:rsidRDefault="006E5BB1" w:rsidP="004E5E65">
      <w:pPr>
        <w:autoSpaceDE w:val="0"/>
        <w:autoSpaceDN w:val="0"/>
        <w:adjustRightInd w:val="0"/>
        <w:ind w:left="1440" w:hanging="720"/>
      </w:pPr>
      <w:r>
        <w:t>(</w:t>
      </w:r>
      <w:r w:rsidR="004E5E65" w:rsidRPr="004913BA">
        <w:t>5</w:t>
      </w:r>
      <w:r>
        <w:t>)</w:t>
      </w:r>
      <w:r w:rsidR="004E5E65" w:rsidRPr="004913BA">
        <w:tab/>
        <w:t xml:space="preserve">whether the detention of the plaintiff was unnecessarily painful, degrading, prolonged, or involved an undue invasion of </w:t>
      </w:r>
      <w:proofErr w:type="gramStart"/>
      <w:r w:rsidR="004E5E65" w:rsidRPr="004913BA">
        <w:t>privacy;</w:t>
      </w:r>
      <w:proofErr w:type="gramEnd"/>
    </w:p>
    <w:p w14:paraId="70D90DC0" w14:textId="77777777" w:rsidR="004E5E65" w:rsidRPr="004913BA" w:rsidRDefault="004E5E65" w:rsidP="004E5E65">
      <w:pPr>
        <w:autoSpaceDE w:val="0"/>
        <w:autoSpaceDN w:val="0"/>
        <w:adjustRightInd w:val="0"/>
        <w:ind w:left="1440" w:hanging="720"/>
      </w:pPr>
    </w:p>
    <w:p w14:paraId="51F16CD2" w14:textId="12E1621E" w:rsidR="004E5E65" w:rsidRPr="004913BA" w:rsidRDefault="006E5BB1" w:rsidP="004E5E65">
      <w:pPr>
        <w:autoSpaceDE w:val="0"/>
        <w:autoSpaceDN w:val="0"/>
        <w:adjustRightInd w:val="0"/>
        <w:ind w:left="1440" w:hanging="720"/>
      </w:pPr>
      <w:r>
        <w:t>(</w:t>
      </w:r>
      <w:r w:rsidR="004E5E65" w:rsidRPr="004913BA">
        <w:t>6</w:t>
      </w:r>
      <w:r>
        <w:t>)</w:t>
      </w:r>
      <w:r w:rsidR="004E5E65" w:rsidRPr="004913BA">
        <w:tab/>
        <w:t>whether the detention of the plaintiff facilitated the orderly completion of the search; and</w:t>
      </w:r>
    </w:p>
    <w:p w14:paraId="35E887AF" w14:textId="77777777" w:rsidR="004E5E65" w:rsidRPr="004913BA" w:rsidRDefault="004E5E65" w:rsidP="004E5E65">
      <w:pPr>
        <w:autoSpaceDE w:val="0"/>
        <w:autoSpaceDN w:val="0"/>
        <w:adjustRightInd w:val="0"/>
        <w:ind w:left="1440" w:hanging="720"/>
      </w:pPr>
    </w:p>
    <w:p w14:paraId="34AA24C8" w14:textId="6B7DDC42" w:rsidR="004E5E65" w:rsidRPr="004913BA" w:rsidRDefault="004E5E65" w:rsidP="004E5E65">
      <w:pPr>
        <w:autoSpaceDE w:val="0"/>
        <w:autoSpaceDN w:val="0"/>
        <w:adjustRightInd w:val="0"/>
        <w:ind w:left="1440" w:hanging="720"/>
      </w:pPr>
      <w:r w:rsidRPr="004913BA">
        <w:t>[</w:t>
      </w:r>
      <w:r w:rsidR="006E5BB1">
        <w:t>(</w:t>
      </w:r>
      <w:r w:rsidRPr="004913BA">
        <w:t>7</w:t>
      </w:r>
      <w:r w:rsidR="006E5BB1">
        <w:t>)</w:t>
      </w:r>
      <w:r w:rsidRPr="004913BA">
        <w:tab/>
      </w:r>
      <w:r w:rsidRPr="004913BA">
        <w:rPr>
          <w:i/>
          <w:u w:val="single"/>
        </w:rPr>
        <w:t>insert other factors particular to the case.</w:t>
      </w:r>
      <w:r w:rsidRPr="004913BA">
        <w:t>]</w:t>
      </w:r>
    </w:p>
    <w:p w14:paraId="7E51EF2F" w14:textId="77777777" w:rsidR="004E5E65" w:rsidRPr="004913BA" w:rsidRDefault="004E5E65" w:rsidP="004E5E65">
      <w:pPr>
        <w:autoSpaceDE w:val="0"/>
        <w:autoSpaceDN w:val="0"/>
        <w:adjustRightInd w:val="0"/>
      </w:pPr>
    </w:p>
    <w:p w14:paraId="2851D8CF" w14:textId="77777777" w:rsidR="004E5E65" w:rsidRPr="004913BA" w:rsidRDefault="004E5E65" w:rsidP="004E5E65">
      <w:pPr>
        <w:autoSpaceDE w:val="0"/>
        <w:autoSpaceDN w:val="0"/>
        <w:adjustRightInd w:val="0"/>
      </w:pPr>
      <w:r w:rsidRPr="004913BA">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66F7450E" w14:textId="77777777" w:rsidR="004E5E65" w:rsidRPr="004913BA" w:rsidRDefault="004E5E65" w:rsidP="004E5E65">
      <w:pPr>
        <w:autoSpaceDE w:val="0"/>
        <w:autoSpaceDN w:val="0"/>
        <w:adjustRightInd w:val="0"/>
        <w:jc w:val="center"/>
      </w:pPr>
    </w:p>
    <w:p w14:paraId="37210B58" w14:textId="77777777" w:rsidR="004E5E65" w:rsidRPr="004913BA" w:rsidRDefault="004E5E65" w:rsidP="004E5E65">
      <w:pPr>
        <w:autoSpaceDE w:val="0"/>
        <w:autoSpaceDN w:val="0"/>
        <w:adjustRightInd w:val="0"/>
        <w:jc w:val="center"/>
        <w:rPr>
          <w:b/>
        </w:rPr>
      </w:pPr>
      <w:r w:rsidRPr="004913BA">
        <w:rPr>
          <w:b/>
        </w:rPr>
        <w:t>Comment</w:t>
      </w:r>
    </w:p>
    <w:p w14:paraId="09BCFFF8" w14:textId="77777777" w:rsidR="004E5E65" w:rsidRPr="004913BA" w:rsidRDefault="004E5E65" w:rsidP="004E5E65">
      <w:pPr>
        <w:autoSpaceDE w:val="0"/>
        <w:autoSpaceDN w:val="0"/>
        <w:adjustRightInd w:val="0"/>
        <w:jc w:val="center"/>
        <w:rPr>
          <w:b/>
        </w:rPr>
      </w:pPr>
    </w:p>
    <w:p w14:paraId="32B48E22" w14:textId="77777777" w:rsidR="004E5E65" w:rsidRPr="004913BA" w:rsidRDefault="004E5E65" w:rsidP="004E5E65">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and in conjunction with Instruction 9.20 (Particular Rights—Fourth Amendment—Unreasonable Seizure of Person—Generally). </w:t>
      </w:r>
    </w:p>
    <w:p w14:paraId="48633F5B" w14:textId="77777777" w:rsidR="006E5BB1" w:rsidRDefault="006E5BB1" w:rsidP="006E5BB1">
      <w:pPr>
        <w:shd w:val="clear" w:color="auto" w:fill="FFFFFF"/>
        <w:ind w:right="576" w:firstLine="720"/>
        <w:rPr>
          <w:rFonts w:cs="Times New Roman"/>
          <w:szCs w:val="24"/>
        </w:rPr>
      </w:pPr>
      <w:bookmarkStart w:id="3" w:name="_Hlk203554400"/>
    </w:p>
    <w:p w14:paraId="5CD08273" w14:textId="6E9AEC2C" w:rsidR="006E5BB1" w:rsidRPr="00427C37" w:rsidRDefault="006E5BB1" w:rsidP="007B7FBE">
      <w:pPr>
        <w:shd w:val="clear" w:color="auto" w:fill="FFFFFF"/>
        <w:ind w:firstLine="720"/>
        <w:rPr>
          <w:rFonts w:eastAsia="Times New Roman" w:cs="Times New Roman"/>
          <w:szCs w:val="24"/>
        </w:rPr>
      </w:pPr>
      <w:r w:rsidRPr="00427C37">
        <w:rPr>
          <w:rFonts w:cs="Times New Roman"/>
          <w:szCs w:val="24"/>
        </w:rPr>
        <w:lastRenderedPageBreak/>
        <w:t xml:space="preserve">In a multi-plaintiff or multi-defendant case, the trial judge should consider naming </w:t>
      </w:r>
      <w:proofErr w:type="gramStart"/>
      <w:r w:rsidRPr="00427C37">
        <w:rPr>
          <w:rFonts w:cs="Times New Roman"/>
          <w:szCs w:val="24"/>
        </w:rPr>
        <w:t>each individual</w:t>
      </w:r>
      <w:proofErr w:type="gramEnd"/>
      <w:r w:rsidRPr="00427C37">
        <w:rPr>
          <w:rFonts w:cs="Times New Roman"/>
          <w:szCs w:val="24"/>
        </w:rPr>
        <w:t xml:space="preserve">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”—plural</w:t>
      </w:r>
      <w:proofErr w:type="gramStart"/>
      <w:r w:rsidRPr="00427C37">
        <w:rPr>
          <w:rFonts w:eastAsia="Times New Roman" w:cs="Times New Roman"/>
          <w:szCs w:val="24"/>
        </w:rPr>
        <w:t>—“</w:t>
      </w:r>
      <w:proofErr w:type="gramEnd"/>
      <w:r w:rsidRPr="00427C37">
        <w:rPr>
          <w:rFonts w:eastAsia="Times New Roman" w:cs="Times New Roman"/>
          <w:szCs w:val="24"/>
        </w:rPr>
        <w:t xml:space="preserve">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proofErr w:type="gramStart"/>
      <w:r w:rsidRPr="00427C37">
        <w:rPr>
          <w:rFonts w:eastAsia="Times New Roman" w:cs="Times New Roman"/>
          <w:szCs w:val="24"/>
        </w:rPr>
        <w:t>In light of</w:t>
      </w:r>
      <w:proofErr w:type="gramEnd"/>
      <w:r w:rsidRPr="00427C37">
        <w:rPr>
          <w:rFonts w:eastAsia="Times New Roman" w:cs="Times New Roman"/>
          <w:szCs w:val="24"/>
        </w:rPr>
        <w:t xml:space="preserv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3"/>
    <w:p w14:paraId="53BD7B4D" w14:textId="77777777" w:rsidR="004E5E65" w:rsidRPr="004913BA" w:rsidRDefault="004E5E65" w:rsidP="004E5E65">
      <w:pPr>
        <w:autoSpaceDE w:val="0"/>
        <w:autoSpaceDN w:val="0"/>
        <w:adjustRightInd w:val="0"/>
      </w:pPr>
    </w:p>
    <w:p w14:paraId="273027B8" w14:textId="77777777" w:rsidR="004E5E65" w:rsidRPr="004913BA" w:rsidRDefault="004E5E65" w:rsidP="004E5E65">
      <w:pPr>
        <w:autoSpaceDE w:val="0"/>
        <w:autoSpaceDN w:val="0"/>
        <w:adjustRightInd w:val="0"/>
        <w:rPr>
          <w:i/>
        </w:rPr>
      </w:pPr>
      <w:r w:rsidRPr="004913BA">
        <w:tab/>
        <w:t xml:space="preserve">This instruction is based on the district court’s jury instructions approved in </w:t>
      </w:r>
      <w:r w:rsidRPr="004913BA">
        <w:rPr>
          <w:i/>
        </w:rPr>
        <w:t xml:space="preserve">Muehler v. </w:t>
      </w:r>
    </w:p>
    <w:p w14:paraId="7D708326" w14:textId="77777777" w:rsidR="004E5E65" w:rsidRPr="004913BA" w:rsidRDefault="004E5E65" w:rsidP="004E5E65">
      <w:pPr>
        <w:autoSpaceDE w:val="0"/>
        <w:autoSpaceDN w:val="0"/>
        <w:adjustRightInd w:val="0"/>
      </w:pPr>
      <w:r w:rsidRPr="004913BA">
        <w:rPr>
          <w:i/>
        </w:rPr>
        <w:t>Mena</w:t>
      </w:r>
      <w:r w:rsidRPr="004913BA">
        <w:t xml:space="preserve">, 544 U.S. 93, 104 n.2, 108 (2005) (Stevens, J., concurring). In </w:t>
      </w:r>
      <w:r w:rsidRPr="004913BA">
        <w:rPr>
          <w:i/>
        </w:rPr>
        <w:t>Muehler</w:t>
      </w:r>
      <w:r w:rsidRPr="004913BA">
        <w:t xml:space="preserve">, the Supreme Court reiterated its holding in </w:t>
      </w:r>
      <w:r w:rsidRPr="004913BA">
        <w:rPr>
          <w:i/>
        </w:rPr>
        <w:t>Michigan v. Summers</w:t>
      </w:r>
      <w:r w:rsidRPr="004913BA">
        <w:t xml:space="preserve">, 452 U.S. 692 (1981), that “officers executing a search warrant for contraband have the authority ‘to detain the occupants of the premises while a proper search is conducted.’” </w:t>
      </w:r>
      <w:r w:rsidRPr="004913BA">
        <w:rPr>
          <w:i/>
        </w:rPr>
        <w:t>Id</w:t>
      </w:r>
      <w:r w:rsidRPr="004913BA">
        <w:t xml:space="preserve">. at 98. The Court noted that </w:t>
      </w:r>
      <w:r w:rsidRPr="004913BA">
        <w:rPr>
          <w:i/>
        </w:rPr>
        <w:t xml:space="preserve">Summers </w:t>
      </w:r>
      <w:r w:rsidRPr="004913BA">
        <w:t>had</w:t>
      </w:r>
    </w:p>
    <w:p w14:paraId="606449AE" w14:textId="77777777" w:rsidR="004E5E65" w:rsidRPr="004913BA" w:rsidRDefault="004E5E65" w:rsidP="004E5E65">
      <w:pPr>
        <w:autoSpaceDE w:val="0"/>
        <w:autoSpaceDN w:val="0"/>
        <w:adjustRightInd w:val="0"/>
      </w:pPr>
    </w:p>
    <w:p w14:paraId="026B823D" w14:textId="77777777" w:rsidR="004E5E65" w:rsidRPr="004913BA" w:rsidRDefault="004E5E65" w:rsidP="004E5E65">
      <w:pPr>
        <w:autoSpaceDE w:val="0"/>
        <w:autoSpaceDN w:val="0"/>
        <w:adjustRightInd w:val="0"/>
        <w:ind w:left="720" w:right="720"/>
      </w:pPr>
      <w:r w:rsidRPr="004913BA">
        <w:t>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w:t>
      </w:r>
      <w:r w:rsidRPr="00844EC5">
        <w:rPr>
          <w:rFonts w:eastAsia="Calibri" w:cs="Times New Roman"/>
        </w:rPr>
        <w:t>”</w:t>
      </w:r>
      <w:r w:rsidRPr="004913BA">
        <w:t xml:space="preserve"> . . . Inherent in </w:t>
      </w:r>
      <w:r w:rsidRPr="004913BA">
        <w:rPr>
          <w:i/>
        </w:rPr>
        <w:t>Summers</w:t>
      </w:r>
      <w:r w:rsidRPr="004913BA">
        <w:t xml:space="preserve">’ authorization to detain an occupant of the place to be searched is the authority to use reasonable force to effectuate the detention.  </w:t>
      </w:r>
    </w:p>
    <w:p w14:paraId="71701275" w14:textId="77777777" w:rsidR="004E5E65" w:rsidRPr="004913BA" w:rsidRDefault="004E5E65" w:rsidP="004E5E65">
      <w:pPr>
        <w:autoSpaceDE w:val="0"/>
        <w:autoSpaceDN w:val="0"/>
        <w:adjustRightInd w:val="0"/>
      </w:pPr>
    </w:p>
    <w:p w14:paraId="73810A77" w14:textId="77777777" w:rsidR="004E5E65" w:rsidRPr="004913BA" w:rsidRDefault="004E5E65" w:rsidP="004E5E65">
      <w:pPr>
        <w:autoSpaceDE w:val="0"/>
        <w:autoSpaceDN w:val="0"/>
        <w:adjustRightInd w:val="0"/>
      </w:pPr>
      <w:r w:rsidRPr="004913BA">
        <w:rPr>
          <w:i/>
        </w:rPr>
        <w:t>Muehler</w:t>
      </w:r>
      <w:r w:rsidRPr="004913BA">
        <w:t xml:space="preserve">, 544 U.S. at 98-99 (citations omitted); </w:t>
      </w:r>
      <w:r w:rsidRPr="004913BA">
        <w:rPr>
          <w:i/>
        </w:rPr>
        <w:t>see also</w:t>
      </w:r>
      <w:r w:rsidRPr="004913BA">
        <w:t xml:space="preserve"> </w:t>
      </w:r>
      <w:r w:rsidRPr="004913BA">
        <w:rPr>
          <w:i/>
        </w:rPr>
        <w:t>Blight v. City of Manteca</w:t>
      </w:r>
      <w:r w:rsidRPr="004913BA">
        <w:t xml:space="preserve">, 944 F.3d 1061, 1068 (9th Cir. 2019) (“The reasons for such a detention are particularly applicable in the context of a narcotics search because there is a heightened risk that an occupant could destroy evidence.”). </w:t>
      </w:r>
      <w:r w:rsidRPr="004913BA">
        <w:rPr>
          <w:i/>
        </w:rPr>
        <w:t>Summers</w:t>
      </w:r>
      <w:r w:rsidRPr="004913BA">
        <w:t xml:space="preserve"> applies only to search warrants and does not give law enforcement officers the categorical authority to detain home </w:t>
      </w:r>
      <w:proofErr w:type="gramStart"/>
      <w:r w:rsidRPr="004913BA">
        <w:t>occupants</w:t>
      </w:r>
      <w:proofErr w:type="gramEnd"/>
      <w:r w:rsidRPr="004913BA">
        <w:t xml:space="preserve"> incident to the execution of an arrest warrant. </w:t>
      </w:r>
      <w:r w:rsidRPr="004913BA">
        <w:rPr>
          <w:i/>
        </w:rPr>
        <w:t>Sharp v. County of Orange</w:t>
      </w:r>
      <w:r w:rsidRPr="004913BA">
        <w:t xml:space="preserve">, 871 F.3d 901, 915 (9th Cir. 2017) (noting, however, that “entry into a home for the purpose of arresting an occupant can be a dangerous effort, and </w:t>
      </w:r>
      <w:proofErr w:type="gramStart"/>
      <w:r w:rsidRPr="004913BA">
        <w:t>officers</w:t>
      </w:r>
      <w:proofErr w:type="gramEnd"/>
      <w:r w:rsidRPr="004913BA">
        <w:t xml:space="preserve"> ought to have reasonable tools at their disposal to take command of the situation to protect their own safety and the safety of others”). Whether such a detention is authorized depends on the </w:t>
      </w:r>
      <w:proofErr w:type="gramStart"/>
      <w:r w:rsidRPr="004913BA">
        <w:t>particular circumstances</w:t>
      </w:r>
      <w:proofErr w:type="gramEnd"/>
      <w:r w:rsidRPr="004913BA">
        <w:t xml:space="preserve"> confronting the officer, such as the need to detain “occupants to stabilize the situation while searching for the subject of an arrest warrant or conducting a lawful protective sweep of the premises.” </w:t>
      </w:r>
      <w:r w:rsidRPr="004913BA">
        <w:rPr>
          <w:i/>
        </w:rPr>
        <w:t>Sharp</w:t>
      </w:r>
      <w:r w:rsidRPr="004913BA">
        <w:t>, 871 F.3d at 915;</w:t>
      </w:r>
      <w:r w:rsidRPr="004913BA">
        <w:rPr>
          <w:i/>
        </w:rPr>
        <w:t xml:space="preserve"> see also Blight</w:t>
      </w:r>
      <w:r w:rsidRPr="004913BA">
        <w:t xml:space="preserve">, 944 F.3d at 1068 (detention of </w:t>
      </w:r>
      <w:r>
        <w:rPr>
          <w:rFonts w:cs="Times New Roman"/>
          <w:szCs w:val="24"/>
        </w:rPr>
        <w:t xml:space="preserve">the </w:t>
      </w:r>
      <w:r w:rsidRPr="004913BA">
        <w:t>suspect’s elderly mother for duration of</w:t>
      </w:r>
      <w:r>
        <w:rPr>
          <w:rFonts w:cs="Times New Roman"/>
          <w:szCs w:val="24"/>
        </w:rPr>
        <w:t xml:space="preserve"> the</w:t>
      </w:r>
      <w:r w:rsidRPr="004913BA">
        <w:t xml:space="preserve"> search of his property was reasonable under Fourth Amendment, notwithstanding her age, lack of evidence linking her to suspect’s marijuana operation, and length of time of detention, where </w:t>
      </w:r>
      <w:r>
        <w:rPr>
          <w:rFonts w:cs="Times New Roman"/>
          <w:szCs w:val="24"/>
        </w:rPr>
        <w:t xml:space="preserve">the </w:t>
      </w:r>
      <w:r w:rsidRPr="004913BA">
        <w:t>detainee was never personally searched or interrogated, and detention lasted no longer than one hour).</w:t>
      </w:r>
    </w:p>
    <w:p w14:paraId="387B60A8" w14:textId="77777777" w:rsidR="004E5E65" w:rsidRPr="004913BA" w:rsidRDefault="004E5E65" w:rsidP="004E5E65">
      <w:pPr>
        <w:autoSpaceDE w:val="0"/>
        <w:autoSpaceDN w:val="0"/>
        <w:adjustRightInd w:val="0"/>
      </w:pPr>
    </w:p>
    <w:p w14:paraId="7037D662" w14:textId="77777777" w:rsidR="004E5E65" w:rsidRPr="004913BA" w:rsidRDefault="004E5E65" w:rsidP="004E5E65">
      <w:pPr>
        <w:autoSpaceDE w:val="0"/>
        <w:autoSpaceDN w:val="0"/>
        <w:adjustRightInd w:val="0"/>
      </w:pPr>
      <w:r w:rsidRPr="004913BA">
        <w:tab/>
        <w:t xml:space="preserve">After </w:t>
      </w:r>
      <w:r w:rsidRPr="004913BA">
        <w:rPr>
          <w:i/>
        </w:rPr>
        <w:t>Muehler</w:t>
      </w:r>
      <w:r w:rsidRPr="004913BA">
        <w:t xml:space="preserve">, the Ninth Circuit noted in </w:t>
      </w:r>
      <w:r w:rsidRPr="004913BA">
        <w:rPr>
          <w:i/>
        </w:rPr>
        <w:t xml:space="preserve">Dawson v. City of Seattle </w:t>
      </w:r>
      <w:r w:rsidRPr="004913BA">
        <w:t xml:space="preserve">that “[t]o </w:t>
      </w:r>
      <w:proofErr w:type="gramStart"/>
      <w:r w:rsidRPr="004913BA">
        <w:t>determine</w:t>
      </w:r>
      <w:proofErr w:type="gramEnd"/>
      <w:r w:rsidRPr="004913BA">
        <w:t xml:space="preserve"> whether a detention incident to a search is constitutionally reasonable, [a court should] balance the law enforcement interests served by the detention against the public’s privacy interests.” 435 F.3d 1054, 1065-66 (9th Cir. 2006). “[D]</w:t>
      </w:r>
      <w:proofErr w:type="spellStart"/>
      <w:r w:rsidRPr="004913BA">
        <w:t>etaining</w:t>
      </w:r>
      <w:proofErr w:type="spellEnd"/>
      <w:r w:rsidRPr="004913BA">
        <w:t xml:space="preserve"> a building’s occupants serves at least three law </w:t>
      </w:r>
      <w:r w:rsidRPr="004913BA">
        <w:lastRenderedPageBreak/>
        <w:t xml:space="preserve">enforcement interests:  first, detention prevents a suspect from fleeing before the police discover contraband; second, detention minimizes the risk that an officer or an occupant might be harmed during the search; and third, detention often expedites a search.” </w:t>
      </w:r>
      <w:r w:rsidRPr="004913BA">
        <w:rPr>
          <w:i/>
        </w:rPr>
        <w:t>Id</w:t>
      </w:r>
      <w:r w:rsidRPr="004913BA">
        <w:t xml:space="preserve">. at 1066. The court held:  </w:t>
      </w:r>
    </w:p>
    <w:p w14:paraId="29286723" w14:textId="77777777" w:rsidR="004E5E65" w:rsidRPr="004913BA" w:rsidRDefault="004E5E65" w:rsidP="004E5E65">
      <w:pPr>
        <w:autoSpaceDE w:val="0"/>
        <w:autoSpaceDN w:val="0"/>
        <w:adjustRightInd w:val="0"/>
      </w:pPr>
    </w:p>
    <w:p w14:paraId="0E09752C" w14:textId="77777777" w:rsidR="004E5E65" w:rsidRPr="004913BA" w:rsidRDefault="004E5E65" w:rsidP="004E5E65">
      <w:pPr>
        <w:autoSpaceDE w:val="0"/>
        <w:autoSpaceDN w:val="0"/>
        <w:adjustRightInd w:val="0"/>
        <w:ind w:left="720" w:right="720"/>
      </w:pPr>
      <w:r w:rsidRPr="004913BA">
        <w:t xml:space="preserve">[T]he duration of a detention may be coextensive with the period of a search and require no further justification. The police do not, however, have unfettered authority to detain a building’s occupants in any way they see fit. </w:t>
      </w:r>
      <w:r w:rsidRPr="004913BA">
        <w:rPr>
          <w:i/>
        </w:rPr>
        <w:t>Muehler</w:t>
      </w:r>
      <w:r w:rsidRPr="004913BA">
        <w:t xml:space="preserve"> confirms an officer’s authority to detain a building’s occupants during a search so long as the officer conducts the detention in a reasonable manner.</w:t>
      </w:r>
    </w:p>
    <w:p w14:paraId="1BE0C917" w14:textId="77777777" w:rsidR="004E5E65" w:rsidRPr="004913BA" w:rsidRDefault="004E5E65" w:rsidP="004E5E65">
      <w:pPr>
        <w:autoSpaceDE w:val="0"/>
        <w:autoSpaceDN w:val="0"/>
        <w:adjustRightInd w:val="0"/>
      </w:pPr>
    </w:p>
    <w:p w14:paraId="198F425D" w14:textId="77777777" w:rsidR="004E5E65" w:rsidRPr="004913BA" w:rsidRDefault="004E5E65" w:rsidP="004E5E65">
      <w:pPr>
        <w:autoSpaceDE w:val="0"/>
        <w:autoSpaceDN w:val="0"/>
        <w:adjustRightInd w:val="0"/>
      </w:pPr>
      <w:r w:rsidRPr="004913BA">
        <w:rPr>
          <w:i/>
        </w:rPr>
        <w:t>Id</w:t>
      </w:r>
      <w:r w:rsidRPr="004913BA">
        <w:t xml:space="preserve">. (citations omitted); </w:t>
      </w:r>
      <w:r w:rsidRPr="004913BA">
        <w:rPr>
          <w:i/>
        </w:rPr>
        <w:t>see also Howell v. Polk</w:t>
      </w:r>
      <w:r w:rsidRPr="004913BA">
        <w:t xml:space="preserve">, 532 F.3d 1025, 1026 (9th Cir. 2008) (per </w:t>
      </w:r>
      <w:proofErr w:type="spellStart"/>
      <w:r w:rsidRPr="004913BA">
        <w:t>curiam</w:t>
      </w:r>
      <w:proofErr w:type="spellEnd"/>
      <w:r w:rsidRPr="004913BA">
        <w:t xml:space="preserve">) (holding that whether “knock-and-announce” search warrant was unreasonably executed was a jury question to be determined under the totality of the circumstances). </w:t>
      </w:r>
    </w:p>
    <w:p w14:paraId="27F19672" w14:textId="77777777" w:rsidR="004E5E65" w:rsidRPr="004913BA" w:rsidRDefault="004E5E65" w:rsidP="004E5E65">
      <w:pPr>
        <w:autoSpaceDE w:val="0"/>
        <w:autoSpaceDN w:val="0"/>
        <w:adjustRightInd w:val="0"/>
      </w:pPr>
    </w:p>
    <w:p w14:paraId="7A2550C7" w14:textId="77777777" w:rsidR="004E5E65" w:rsidRPr="004913BA" w:rsidRDefault="004E5E65" w:rsidP="004E5E65">
      <w:pPr>
        <w:autoSpaceDE w:val="0"/>
        <w:autoSpaceDN w:val="0"/>
        <w:adjustRightInd w:val="0"/>
      </w:pPr>
      <w:r w:rsidRPr="004913BA">
        <w:tab/>
        <w:t xml:space="preserve">A spatial or geographical boundary can be used to determine the area within which both the search and detention incident to that search may occur. In </w:t>
      </w:r>
      <w:r w:rsidRPr="004913BA">
        <w:rPr>
          <w:i/>
        </w:rPr>
        <w:t>Bailey v. United States</w:t>
      </w:r>
      <w:r w:rsidRPr="004913BA">
        <w:t xml:space="preserve">, 568 U.S. 186, 201 (2013), the Supreme Court concluded that because the rule announced in </w:t>
      </w:r>
      <w:r w:rsidRPr="004913BA">
        <w:rPr>
          <w:i/>
        </w:rPr>
        <w:t xml:space="preserve">Summers </w:t>
      </w:r>
      <w:r w:rsidRPr="004913BA">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4913BA">
        <w:rPr>
          <w:i/>
        </w:rPr>
        <w:t>Id.</w:t>
      </w:r>
      <w:r w:rsidRPr="004913BA">
        <w:t xml:space="preserve"> (holding that detention of</w:t>
      </w:r>
      <w:r w:rsidRPr="006A4CD7">
        <w:rPr>
          <w:rFonts w:cs="Times New Roman"/>
          <w:szCs w:val="24"/>
        </w:rPr>
        <w:t xml:space="preserve"> </w:t>
      </w:r>
      <w:r>
        <w:rPr>
          <w:rFonts w:cs="Times New Roman"/>
          <w:szCs w:val="24"/>
        </w:rPr>
        <w:t>a</w:t>
      </w:r>
      <w:r w:rsidRPr="004913BA">
        <w:t xml:space="preserve"> person one mile from premises, who had left premises before search began, was not sufficiently connected to search of premises). “Confining an officer’s authority to detain under </w:t>
      </w:r>
      <w:r w:rsidRPr="004913BA">
        <w:rPr>
          <w:i/>
        </w:rPr>
        <w:t>Summers</w:t>
      </w:r>
      <w:r w:rsidRPr="004913BA">
        <w:t xml:space="preserve"> to the immediate vicinity of a premises to be searched is a proper limit because it accords with the rationale of the rule.” </w:t>
      </w:r>
      <w:r w:rsidRPr="004913BA">
        <w:rPr>
          <w:i/>
        </w:rPr>
        <w:t>Id.</w:t>
      </w:r>
      <w:r w:rsidRPr="004913BA">
        <w:t xml:space="preserve"> Thus, as in </w:t>
      </w:r>
      <w:r w:rsidRPr="004913BA">
        <w:rPr>
          <w:i/>
        </w:rPr>
        <w:t xml:space="preserve">Bailey, </w:t>
      </w:r>
      <w:r w:rsidRPr="004913BA">
        <w:t xml:space="preserve">when law enforcement waits to stop or detain a suspect until after he or she has left the search location, “the lawfulness of detention is controlled [not by </w:t>
      </w:r>
      <w:r w:rsidRPr="004913BA">
        <w:rPr>
          <w:i/>
        </w:rPr>
        <w:t>Summers</w:t>
      </w:r>
      <w:r w:rsidRPr="004913BA">
        <w:t xml:space="preserve">, but] by other standards,” namely, probable cause or reasonable suspicion. </w:t>
      </w:r>
      <w:r w:rsidRPr="004913BA">
        <w:rPr>
          <w:i/>
        </w:rPr>
        <w:t>Id.</w:t>
      </w:r>
      <w:r w:rsidRPr="004913BA">
        <w:t xml:space="preserve"> at 202; </w:t>
      </w:r>
      <w:r w:rsidRPr="004913BA">
        <w:rPr>
          <w:i/>
        </w:rPr>
        <w:t>see also United States v. Ramirez</w:t>
      </w:r>
      <w:r w:rsidRPr="004913BA">
        <w:t>, 976 F.3d 946, 956 (9th Cir. 2020) (holding a Fourth Amendment violation occurred where “[</w:t>
      </w:r>
      <w:proofErr w:type="spellStart"/>
      <w:r w:rsidRPr="004913BA">
        <w:t>i</w:t>
      </w:r>
      <w:proofErr w:type="spellEnd"/>
      <w:r w:rsidRPr="004913BA">
        <w:t>]t was only by posing as police officers investigating a fictitious home burglary that the agents convinced Ramirez to drive home, thereby creating the authority to seize him and his car that did not otherwise exist at the time”).</w:t>
      </w:r>
    </w:p>
    <w:p w14:paraId="0498D96F" w14:textId="77777777" w:rsidR="004E5E65" w:rsidRPr="004913BA" w:rsidRDefault="004E5E65" w:rsidP="004E5E65">
      <w:pPr>
        <w:autoSpaceDE w:val="0"/>
        <w:autoSpaceDN w:val="0"/>
        <w:adjustRightInd w:val="0"/>
        <w:rPr>
          <w:b/>
        </w:rPr>
      </w:pPr>
    </w:p>
    <w:p w14:paraId="2D4FC971" w14:textId="1501F716" w:rsidR="00B03D36" w:rsidRPr="004E5E65" w:rsidRDefault="004E5E65" w:rsidP="004E5E65">
      <w:pPr>
        <w:jc w:val="right"/>
      </w:pPr>
      <w:r w:rsidRPr="00AE413F">
        <w:rPr>
          <w:rFonts w:cs="Times New Roman"/>
          <w:i/>
          <w:iCs/>
          <w:szCs w:val="24"/>
        </w:rPr>
        <w:t xml:space="preserve">Revised </w:t>
      </w:r>
      <w:r w:rsidR="006E5BB1">
        <w:rPr>
          <w:rFonts w:cs="Times New Roman"/>
          <w:i/>
          <w:iCs/>
          <w:szCs w:val="24"/>
        </w:rPr>
        <w:t>June 2025</w:t>
      </w:r>
      <w:bookmarkEnd w:id="2"/>
    </w:p>
    <w:sectPr w:rsidR="00B03D36" w:rsidRPr="004E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562A8"/>
    <w:rsid w:val="001B2DC0"/>
    <w:rsid w:val="00277CB1"/>
    <w:rsid w:val="004A269F"/>
    <w:rsid w:val="004E5E65"/>
    <w:rsid w:val="00547BD9"/>
    <w:rsid w:val="00610EC8"/>
    <w:rsid w:val="00645E89"/>
    <w:rsid w:val="006E5BB1"/>
    <w:rsid w:val="007B7FBE"/>
    <w:rsid w:val="00922469"/>
    <w:rsid w:val="00AD0E12"/>
    <w:rsid w:val="00B03D36"/>
    <w:rsid w:val="00B96321"/>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6E5BB1"/>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1279</Words>
  <Characters>7294</Characters>
  <Application>Microsoft Office Word</Application>
  <DocSecurity>0</DocSecurity>
  <Lines>60</Lines>
  <Paragraphs>17</Paragraphs>
  <ScaleCrop>false</ScaleCrop>
  <Company>United States Courts</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5</cp:revision>
  <dcterms:created xsi:type="dcterms:W3CDTF">2025-01-08T00:20:00Z</dcterms:created>
  <dcterms:modified xsi:type="dcterms:W3CDTF">2025-07-21T20:08:00Z</dcterms:modified>
</cp:coreProperties>
</file>