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15822" w14:textId="77777777" w:rsidR="00AA063D" w:rsidRPr="006A4CD7" w:rsidRDefault="00AA063D" w:rsidP="00AA063D">
      <w:pPr>
        <w:pStyle w:val="Heading2"/>
      </w:pPr>
      <w:bookmarkStart w:id="0" w:name="_Toc65157323"/>
      <w:r w:rsidRPr="006A4CD7">
        <w:t>9.25  PARTICULAR RIGHTS—FOURTH AMENDMENT—UNREASONABLE SEIZURE OF PERSON—EXCESSIVE FORCE</w:t>
      </w:r>
      <w:bookmarkEnd w:id="0"/>
      <w:r w:rsidRPr="006A4CD7">
        <w:t xml:space="preserve"> </w:t>
      </w:r>
    </w:p>
    <w:p w14:paraId="34EF07A3" w14:textId="77777777" w:rsidR="00AA063D" w:rsidRPr="006A4CD7" w:rsidRDefault="00AA063D" w:rsidP="00AA063D"/>
    <w:p w14:paraId="5104D8A6" w14:textId="77777777" w:rsidR="00AA063D" w:rsidRPr="006A4CD7" w:rsidRDefault="00AA063D" w:rsidP="00AA063D">
      <w:pPr>
        <w:autoSpaceDE w:val="0"/>
        <w:autoSpaceDN w:val="0"/>
        <w:adjustRightInd w:val="0"/>
        <w:rPr>
          <w:rFonts w:cs="Times New Roman"/>
          <w:szCs w:val="24"/>
        </w:rPr>
      </w:pPr>
      <w:r w:rsidRPr="006A4CD7">
        <w:rPr>
          <w:rFonts w:cs="Times New Roman"/>
          <w:szCs w:val="24"/>
        </w:rPr>
        <w:tab/>
        <w:t>In general, a seizure of a person is unreasonable under the Fourth Amendment if a police officer uses excessive force [in making a lawful arrest] [and] [or] [in defending [himself] [herself] [others]] [and] [or] [in attempting to stop a fleeing or escaping suspect].  Therefore, to establish an unreasonable seizure in this case, the plaintiff must prove by a preponderance of the evidence that the officer[s] used excessive force when [</w:t>
      </w:r>
      <w:r w:rsidRPr="006A4CD7">
        <w:rPr>
          <w:rFonts w:cs="Times New Roman"/>
          <w:i/>
          <w:iCs/>
          <w:szCs w:val="24"/>
          <w:u w:val="single"/>
        </w:rPr>
        <w:t>insert factual basis of claim</w:t>
      </w:r>
      <w:r w:rsidRPr="006A4CD7">
        <w:rPr>
          <w:rFonts w:cs="Times New Roman"/>
          <w:szCs w:val="24"/>
        </w:rPr>
        <w:t>].</w:t>
      </w:r>
    </w:p>
    <w:p w14:paraId="41F82961" w14:textId="77777777" w:rsidR="00AA063D" w:rsidRPr="006A4CD7" w:rsidRDefault="00AA063D" w:rsidP="00AA063D">
      <w:pPr>
        <w:autoSpaceDE w:val="0"/>
        <w:autoSpaceDN w:val="0"/>
        <w:adjustRightInd w:val="0"/>
        <w:rPr>
          <w:rFonts w:cs="Times New Roman"/>
          <w:szCs w:val="24"/>
        </w:rPr>
      </w:pPr>
    </w:p>
    <w:p w14:paraId="6858363E" w14:textId="77777777" w:rsidR="00AA063D" w:rsidRPr="006A4CD7" w:rsidRDefault="00AA063D" w:rsidP="00AA063D">
      <w:pPr>
        <w:autoSpaceDE w:val="0"/>
        <w:autoSpaceDN w:val="0"/>
        <w:adjustRightInd w:val="0"/>
        <w:rPr>
          <w:rFonts w:cs="Times New Roman"/>
          <w:szCs w:val="24"/>
        </w:rPr>
      </w:pPr>
      <w:r w:rsidRPr="006A4CD7">
        <w:rPr>
          <w:rFonts w:cs="Times New Roman"/>
          <w:szCs w:val="24"/>
        </w:rPr>
        <w:tab/>
        <w:t>Under the Fourth Amendment, a police officer may use only such force as is “objectively reasonable” under all of the circumstances.  You must judge the reasonableness of a particular use of force from the perspective of a reasonable officer on the scene and not with the 20/20 vision of hindsight.   Although the facts known to the officer are relevant to your inquiry, an officer’s subjective intent or motive is not relevant to your inquiry.</w:t>
      </w:r>
    </w:p>
    <w:p w14:paraId="1B25D7B8" w14:textId="77777777" w:rsidR="00AA063D" w:rsidRPr="006A4CD7" w:rsidRDefault="00AA063D" w:rsidP="00AA063D">
      <w:pPr>
        <w:autoSpaceDE w:val="0"/>
        <w:autoSpaceDN w:val="0"/>
        <w:adjustRightInd w:val="0"/>
        <w:rPr>
          <w:rFonts w:cs="Times New Roman"/>
          <w:szCs w:val="24"/>
        </w:rPr>
      </w:pPr>
    </w:p>
    <w:p w14:paraId="15D1769A" w14:textId="77777777" w:rsidR="00AA063D" w:rsidRPr="006A4CD7" w:rsidRDefault="00AA063D" w:rsidP="00AA063D">
      <w:pPr>
        <w:autoSpaceDE w:val="0"/>
        <w:autoSpaceDN w:val="0"/>
        <w:adjustRightInd w:val="0"/>
        <w:rPr>
          <w:rFonts w:cs="Times New Roman"/>
          <w:szCs w:val="24"/>
        </w:rPr>
      </w:pPr>
      <w:r w:rsidRPr="006A4CD7">
        <w:rPr>
          <w:rFonts w:cs="Times New Roman"/>
          <w:szCs w:val="24"/>
        </w:rPr>
        <w:tab/>
        <w:t>In determining whether the officer used excessive force in this case, consider all of the circumstances known to the officer on the scene, including:</w:t>
      </w:r>
    </w:p>
    <w:p w14:paraId="1FBFB3BC" w14:textId="77777777" w:rsidR="00AA063D" w:rsidRPr="006A4CD7" w:rsidRDefault="00AA063D" w:rsidP="00AA063D">
      <w:pPr>
        <w:autoSpaceDE w:val="0"/>
        <w:autoSpaceDN w:val="0"/>
        <w:adjustRightInd w:val="0"/>
        <w:rPr>
          <w:rFonts w:cs="Times New Roman"/>
          <w:szCs w:val="24"/>
        </w:rPr>
      </w:pPr>
    </w:p>
    <w:p w14:paraId="185EF935" w14:textId="77777777" w:rsidR="00AA063D" w:rsidRPr="006A4CD7" w:rsidRDefault="00AA063D" w:rsidP="00AA063D">
      <w:pPr>
        <w:autoSpaceDE w:val="0"/>
        <w:autoSpaceDN w:val="0"/>
        <w:adjustRightInd w:val="0"/>
        <w:ind w:left="1440" w:hanging="720"/>
        <w:rPr>
          <w:rFonts w:cs="Times New Roman"/>
          <w:szCs w:val="24"/>
        </w:rPr>
      </w:pPr>
      <w:r w:rsidRPr="006A4CD7">
        <w:rPr>
          <w:rFonts w:cs="Times New Roman"/>
          <w:szCs w:val="24"/>
        </w:rPr>
        <w:t>1</w:t>
      </w:r>
      <w:r>
        <w:rPr>
          <w:rFonts w:cs="Times New Roman"/>
          <w:szCs w:val="24"/>
        </w:rPr>
        <w:t>.</w:t>
      </w:r>
      <w:r w:rsidRPr="006A4CD7">
        <w:rPr>
          <w:rFonts w:cs="Times New Roman"/>
          <w:szCs w:val="24"/>
        </w:rPr>
        <w:tab/>
        <w:t>the nature of the crime or other circumstances known to the officer[s] at the time force was applied;</w:t>
      </w:r>
    </w:p>
    <w:p w14:paraId="0E8B2BCA" w14:textId="77777777" w:rsidR="00AA063D" w:rsidRPr="006A4CD7" w:rsidRDefault="00AA063D" w:rsidP="00AA063D">
      <w:pPr>
        <w:autoSpaceDE w:val="0"/>
        <w:autoSpaceDN w:val="0"/>
        <w:adjustRightInd w:val="0"/>
        <w:ind w:left="1440" w:hanging="720"/>
        <w:rPr>
          <w:rFonts w:cs="Times New Roman"/>
          <w:szCs w:val="24"/>
        </w:rPr>
      </w:pPr>
    </w:p>
    <w:p w14:paraId="0C1BAD71" w14:textId="77777777" w:rsidR="00AA063D" w:rsidRPr="006A4CD7" w:rsidRDefault="00AA063D" w:rsidP="00AA063D">
      <w:pPr>
        <w:autoSpaceDE w:val="0"/>
        <w:autoSpaceDN w:val="0"/>
        <w:adjustRightInd w:val="0"/>
        <w:ind w:left="1440" w:hanging="720"/>
        <w:rPr>
          <w:rFonts w:cs="Times New Roman"/>
          <w:szCs w:val="24"/>
        </w:rPr>
      </w:pPr>
      <w:r w:rsidRPr="006A4CD7">
        <w:rPr>
          <w:rFonts w:cs="Times New Roman"/>
          <w:szCs w:val="24"/>
        </w:rPr>
        <w:t>2</w:t>
      </w:r>
      <w:r>
        <w:rPr>
          <w:rFonts w:cs="Times New Roman"/>
          <w:szCs w:val="24"/>
        </w:rPr>
        <w:t>.</w:t>
      </w:r>
      <w:r w:rsidRPr="006A4CD7">
        <w:rPr>
          <w:rFonts w:cs="Times New Roman"/>
          <w:szCs w:val="24"/>
        </w:rPr>
        <w:tab/>
        <w:t>whether the [plaintiff] [decedent] posed an immediate threat to the safety of the officer[s] or to others;</w:t>
      </w:r>
    </w:p>
    <w:p w14:paraId="1CD97F5A" w14:textId="77777777" w:rsidR="00AA063D" w:rsidRPr="006A4CD7" w:rsidRDefault="00AA063D" w:rsidP="00AA063D">
      <w:pPr>
        <w:autoSpaceDE w:val="0"/>
        <w:autoSpaceDN w:val="0"/>
        <w:adjustRightInd w:val="0"/>
        <w:ind w:left="1440" w:hanging="720"/>
        <w:rPr>
          <w:rFonts w:cs="Times New Roman"/>
          <w:szCs w:val="24"/>
        </w:rPr>
      </w:pPr>
    </w:p>
    <w:p w14:paraId="5EF7551E" w14:textId="77777777" w:rsidR="00AA063D" w:rsidRPr="006A4CD7" w:rsidRDefault="00AA063D" w:rsidP="00AA063D">
      <w:pPr>
        <w:autoSpaceDE w:val="0"/>
        <w:autoSpaceDN w:val="0"/>
        <w:adjustRightInd w:val="0"/>
        <w:ind w:left="1440" w:hanging="720"/>
        <w:rPr>
          <w:rFonts w:cs="Times New Roman"/>
          <w:szCs w:val="24"/>
        </w:rPr>
      </w:pPr>
      <w:r w:rsidRPr="006A4CD7">
        <w:rPr>
          <w:rFonts w:cs="Times New Roman"/>
          <w:szCs w:val="24"/>
        </w:rPr>
        <w:t>[3</w:t>
      </w:r>
      <w:r>
        <w:rPr>
          <w:rFonts w:cs="Times New Roman"/>
          <w:szCs w:val="24"/>
        </w:rPr>
        <w:t>.</w:t>
      </w:r>
      <w:r w:rsidRPr="006A4CD7">
        <w:rPr>
          <w:rFonts w:cs="Times New Roman"/>
          <w:szCs w:val="24"/>
        </w:rPr>
        <w:tab/>
        <w:t>whether the plaintiff was actively resisting arrest or attempting to evade arrest by flight;]</w:t>
      </w:r>
    </w:p>
    <w:p w14:paraId="51894D4B" w14:textId="77777777" w:rsidR="00AA063D" w:rsidRPr="006A4CD7" w:rsidRDefault="00AA063D" w:rsidP="00AA063D">
      <w:pPr>
        <w:autoSpaceDE w:val="0"/>
        <w:autoSpaceDN w:val="0"/>
        <w:adjustRightInd w:val="0"/>
        <w:ind w:left="1440" w:hanging="720"/>
        <w:rPr>
          <w:rFonts w:cs="Times New Roman"/>
          <w:szCs w:val="24"/>
        </w:rPr>
      </w:pPr>
    </w:p>
    <w:p w14:paraId="1B671795" w14:textId="77777777" w:rsidR="00AA063D" w:rsidRDefault="00AA063D" w:rsidP="00AA063D">
      <w:pPr>
        <w:autoSpaceDE w:val="0"/>
        <w:autoSpaceDN w:val="0"/>
        <w:adjustRightInd w:val="0"/>
        <w:ind w:left="1440" w:hanging="720"/>
        <w:rPr>
          <w:rFonts w:cs="Times New Roman"/>
          <w:szCs w:val="24"/>
        </w:rPr>
      </w:pPr>
      <w:r w:rsidRPr="006A4CD7">
        <w:rPr>
          <w:rFonts w:cs="Times New Roman"/>
          <w:szCs w:val="24"/>
        </w:rPr>
        <w:t>4</w:t>
      </w:r>
      <w:r>
        <w:rPr>
          <w:rFonts w:cs="Times New Roman"/>
          <w:szCs w:val="24"/>
        </w:rPr>
        <w:t>.</w:t>
      </w:r>
      <w:r w:rsidRPr="006A4CD7">
        <w:rPr>
          <w:rFonts w:cs="Times New Roman"/>
          <w:szCs w:val="24"/>
        </w:rPr>
        <w:tab/>
        <w:t>the amount of time the officer had to determine the type and amount of force that reasonably appeared necessary, and any changing circumstances during that period;</w:t>
      </w:r>
    </w:p>
    <w:p w14:paraId="5D0060BB" w14:textId="77777777" w:rsidR="00AA063D" w:rsidRDefault="00AA063D" w:rsidP="00AA063D">
      <w:pPr>
        <w:autoSpaceDE w:val="0"/>
        <w:autoSpaceDN w:val="0"/>
        <w:adjustRightInd w:val="0"/>
        <w:ind w:left="1440" w:hanging="720"/>
        <w:rPr>
          <w:rFonts w:cs="Times New Roman"/>
          <w:szCs w:val="24"/>
        </w:rPr>
      </w:pPr>
    </w:p>
    <w:p w14:paraId="728BC936" w14:textId="77777777" w:rsidR="00AA063D" w:rsidRPr="006A4CD7" w:rsidRDefault="00AA063D" w:rsidP="00AA063D">
      <w:pPr>
        <w:autoSpaceDE w:val="0"/>
        <w:autoSpaceDN w:val="0"/>
        <w:adjustRightInd w:val="0"/>
        <w:ind w:left="1440" w:hanging="720"/>
        <w:rPr>
          <w:rFonts w:cs="Times New Roman"/>
          <w:szCs w:val="24"/>
        </w:rPr>
      </w:pPr>
      <w:r w:rsidRPr="006A4CD7">
        <w:rPr>
          <w:rFonts w:cs="Times New Roman"/>
          <w:szCs w:val="24"/>
        </w:rPr>
        <w:t>5</w:t>
      </w:r>
      <w:r>
        <w:rPr>
          <w:rFonts w:cs="Times New Roman"/>
          <w:szCs w:val="24"/>
        </w:rPr>
        <w:t>.</w:t>
      </w:r>
      <w:r w:rsidRPr="006A4CD7">
        <w:rPr>
          <w:rFonts w:cs="Times New Roman"/>
          <w:szCs w:val="24"/>
        </w:rPr>
        <w:tab/>
        <w:t>the type and amount of force used;</w:t>
      </w:r>
    </w:p>
    <w:p w14:paraId="77B3104E" w14:textId="77777777" w:rsidR="00AA063D" w:rsidRPr="006A4CD7" w:rsidRDefault="00AA063D" w:rsidP="00AA063D">
      <w:pPr>
        <w:autoSpaceDE w:val="0"/>
        <w:autoSpaceDN w:val="0"/>
        <w:adjustRightInd w:val="0"/>
        <w:ind w:left="1440" w:hanging="720"/>
        <w:rPr>
          <w:rFonts w:cs="Times New Roman"/>
          <w:szCs w:val="24"/>
        </w:rPr>
      </w:pPr>
    </w:p>
    <w:p w14:paraId="2B856B8F" w14:textId="77777777" w:rsidR="00AA063D" w:rsidRPr="006A4CD7" w:rsidRDefault="00AA063D" w:rsidP="00AA063D">
      <w:pPr>
        <w:autoSpaceDE w:val="0"/>
        <w:autoSpaceDN w:val="0"/>
        <w:adjustRightInd w:val="0"/>
        <w:ind w:left="1440" w:hanging="720"/>
        <w:rPr>
          <w:rFonts w:cs="Times New Roman"/>
          <w:szCs w:val="24"/>
        </w:rPr>
      </w:pPr>
      <w:r w:rsidRPr="006A4CD7">
        <w:rPr>
          <w:rFonts w:cs="Times New Roman"/>
          <w:szCs w:val="24"/>
        </w:rPr>
        <w:t>[6</w:t>
      </w:r>
      <w:r>
        <w:rPr>
          <w:rFonts w:cs="Times New Roman"/>
          <w:szCs w:val="24"/>
        </w:rPr>
        <w:t>.</w:t>
      </w:r>
      <w:r w:rsidRPr="006A4CD7">
        <w:rPr>
          <w:rFonts w:cs="Times New Roman"/>
          <w:szCs w:val="24"/>
        </w:rPr>
        <w:tab/>
        <w:t>the availability of alternative methods [to take the plaintiff into custody] [to subdue the plaintiff;]]</w:t>
      </w:r>
    </w:p>
    <w:p w14:paraId="387C2417" w14:textId="77777777" w:rsidR="00AA063D" w:rsidRPr="006A4CD7" w:rsidRDefault="00AA063D" w:rsidP="00AA063D">
      <w:pPr>
        <w:autoSpaceDE w:val="0"/>
        <w:autoSpaceDN w:val="0"/>
        <w:adjustRightInd w:val="0"/>
        <w:ind w:left="1440" w:hanging="720"/>
        <w:rPr>
          <w:rFonts w:cs="Times New Roman"/>
          <w:szCs w:val="24"/>
        </w:rPr>
      </w:pPr>
    </w:p>
    <w:p w14:paraId="0D8169B7" w14:textId="77777777" w:rsidR="00AA063D" w:rsidRPr="006A4CD7" w:rsidRDefault="00AA063D" w:rsidP="00AA063D">
      <w:pPr>
        <w:autoSpaceDE w:val="0"/>
        <w:autoSpaceDN w:val="0"/>
        <w:adjustRightInd w:val="0"/>
        <w:ind w:left="1440" w:hanging="720"/>
        <w:rPr>
          <w:rFonts w:cs="Times New Roman"/>
          <w:szCs w:val="24"/>
        </w:rPr>
      </w:pPr>
      <w:r w:rsidRPr="006A4CD7">
        <w:rPr>
          <w:rFonts w:cs="Times New Roman"/>
          <w:szCs w:val="24"/>
        </w:rPr>
        <w:t>[7</w:t>
      </w:r>
      <w:r>
        <w:rPr>
          <w:rFonts w:cs="Times New Roman"/>
          <w:szCs w:val="24"/>
        </w:rPr>
        <w:t>.</w:t>
      </w:r>
      <w:r w:rsidRPr="006A4CD7">
        <w:rPr>
          <w:rFonts w:cs="Times New Roman"/>
          <w:szCs w:val="24"/>
        </w:rPr>
        <w:tab/>
        <w:t xml:space="preserve">the number of lives at risk (motorists, pedestrians, police officers) and the parties’ relative culpability; </w:t>
      </w:r>
      <w:r w:rsidRPr="006A4CD7">
        <w:rPr>
          <w:rFonts w:cs="Times New Roman"/>
          <w:i/>
          <w:iCs/>
          <w:szCs w:val="24"/>
        </w:rPr>
        <w:t>i.e.</w:t>
      </w:r>
      <w:r w:rsidRPr="006A4CD7">
        <w:rPr>
          <w:rFonts w:cs="Times New Roman"/>
          <w:szCs w:val="24"/>
        </w:rPr>
        <w:t>,</w:t>
      </w:r>
      <w:r w:rsidRPr="006A4CD7">
        <w:rPr>
          <w:rFonts w:cs="Times New Roman"/>
          <w:i/>
          <w:iCs/>
          <w:szCs w:val="24"/>
        </w:rPr>
        <w:t xml:space="preserve"> </w:t>
      </w:r>
      <w:r w:rsidRPr="006A4CD7">
        <w:rPr>
          <w:rFonts w:cs="Times New Roman"/>
          <w:szCs w:val="24"/>
        </w:rPr>
        <w:t>which party created the dangerous situation, and which party is more innocent;]</w:t>
      </w:r>
    </w:p>
    <w:p w14:paraId="38C13F6A" w14:textId="77777777" w:rsidR="00AA063D" w:rsidRPr="006A4CD7" w:rsidRDefault="00AA063D" w:rsidP="00AA063D">
      <w:pPr>
        <w:autoSpaceDE w:val="0"/>
        <w:autoSpaceDN w:val="0"/>
        <w:adjustRightInd w:val="0"/>
        <w:ind w:left="1440" w:hanging="720"/>
        <w:rPr>
          <w:rFonts w:cs="Times New Roman"/>
          <w:szCs w:val="24"/>
        </w:rPr>
      </w:pPr>
    </w:p>
    <w:p w14:paraId="68AA863E" w14:textId="77777777" w:rsidR="00AA063D" w:rsidRPr="006A4CD7" w:rsidRDefault="00AA063D" w:rsidP="00AA063D">
      <w:pPr>
        <w:autoSpaceDE w:val="0"/>
        <w:autoSpaceDN w:val="0"/>
        <w:adjustRightInd w:val="0"/>
        <w:ind w:left="1440" w:hanging="720"/>
        <w:rPr>
          <w:rFonts w:cs="Times New Roman"/>
          <w:szCs w:val="24"/>
        </w:rPr>
      </w:pPr>
      <w:r w:rsidRPr="006A4CD7">
        <w:rPr>
          <w:rFonts w:cs="Times New Roman"/>
          <w:szCs w:val="24"/>
        </w:rPr>
        <w:t>[8</w:t>
      </w:r>
      <w:r>
        <w:rPr>
          <w:rFonts w:cs="Times New Roman"/>
          <w:szCs w:val="24"/>
        </w:rPr>
        <w:t>.</w:t>
      </w:r>
      <w:r w:rsidRPr="006A4CD7">
        <w:rPr>
          <w:rFonts w:cs="Times New Roman"/>
          <w:szCs w:val="24"/>
        </w:rPr>
        <w:tab/>
        <w:t>whether it was practical for the officer[s] to give warning of the imminent use of force, and whether such warning was given;]</w:t>
      </w:r>
    </w:p>
    <w:p w14:paraId="70ECF653" w14:textId="77777777" w:rsidR="00AA063D" w:rsidRPr="006A4CD7" w:rsidRDefault="00AA063D" w:rsidP="00AA063D">
      <w:pPr>
        <w:autoSpaceDE w:val="0"/>
        <w:autoSpaceDN w:val="0"/>
        <w:adjustRightInd w:val="0"/>
        <w:ind w:left="1440" w:hanging="720"/>
        <w:rPr>
          <w:rFonts w:cs="Times New Roman"/>
          <w:szCs w:val="24"/>
        </w:rPr>
      </w:pPr>
    </w:p>
    <w:p w14:paraId="4DB2CD61" w14:textId="77777777" w:rsidR="00AA063D" w:rsidRPr="006A4CD7" w:rsidRDefault="00AA063D" w:rsidP="00AA063D">
      <w:pPr>
        <w:autoSpaceDE w:val="0"/>
        <w:autoSpaceDN w:val="0"/>
        <w:adjustRightInd w:val="0"/>
        <w:ind w:left="1440" w:hanging="720"/>
        <w:rPr>
          <w:rFonts w:cs="Times New Roman"/>
          <w:szCs w:val="24"/>
        </w:rPr>
      </w:pPr>
      <w:r w:rsidRPr="006A4CD7">
        <w:rPr>
          <w:rFonts w:cs="Times New Roman"/>
          <w:szCs w:val="24"/>
        </w:rPr>
        <w:t>[9</w:t>
      </w:r>
      <w:r>
        <w:rPr>
          <w:rFonts w:cs="Times New Roman"/>
          <w:szCs w:val="24"/>
        </w:rPr>
        <w:t>.</w:t>
      </w:r>
      <w:r w:rsidRPr="006A4CD7">
        <w:rPr>
          <w:rFonts w:cs="Times New Roman"/>
          <w:szCs w:val="24"/>
        </w:rPr>
        <w:tab/>
        <w:t>whether the officer[s] [was] [were] responding to a domestic violence disturbance;]</w:t>
      </w:r>
    </w:p>
    <w:p w14:paraId="5F7DEC8F" w14:textId="77777777" w:rsidR="00AA063D" w:rsidRPr="006A4CD7" w:rsidRDefault="00AA063D" w:rsidP="00AA063D">
      <w:pPr>
        <w:autoSpaceDE w:val="0"/>
        <w:autoSpaceDN w:val="0"/>
        <w:adjustRightInd w:val="0"/>
        <w:ind w:left="1440" w:hanging="720"/>
        <w:rPr>
          <w:rFonts w:cs="Times New Roman"/>
          <w:szCs w:val="24"/>
        </w:rPr>
      </w:pPr>
    </w:p>
    <w:p w14:paraId="7CE9207B" w14:textId="77777777" w:rsidR="00AA063D" w:rsidRPr="006A4CD7" w:rsidRDefault="00AA063D" w:rsidP="00AA063D">
      <w:pPr>
        <w:autoSpaceDE w:val="0"/>
        <w:autoSpaceDN w:val="0"/>
        <w:adjustRightInd w:val="0"/>
        <w:ind w:left="1440" w:hanging="720"/>
        <w:rPr>
          <w:rFonts w:cs="Times New Roman"/>
          <w:szCs w:val="24"/>
        </w:rPr>
      </w:pPr>
      <w:r w:rsidRPr="006A4CD7">
        <w:rPr>
          <w:rFonts w:cs="Times New Roman"/>
          <w:szCs w:val="24"/>
        </w:rPr>
        <w:lastRenderedPageBreak/>
        <w:t>[10</w:t>
      </w:r>
      <w:r>
        <w:rPr>
          <w:rFonts w:cs="Times New Roman"/>
          <w:szCs w:val="24"/>
        </w:rPr>
        <w:t>.</w:t>
      </w:r>
      <w:r w:rsidRPr="006A4CD7">
        <w:rPr>
          <w:rFonts w:cs="Times New Roman"/>
          <w:szCs w:val="24"/>
        </w:rPr>
        <w:tab/>
        <w:t>whether it should have been apparent to the officer[s] that the person [he] [she] [they] used force against was emotionally disturbed;]</w:t>
      </w:r>
    </w:p>
    <w:p w14:paraId="16901C87" w14:textId="77777777" w:rsidR="00AA063D" w:rsidRPr="006A4CD7" w:rsidRDefault="00AA063D" w:rsidP="00AA063D">
      <w:pPr>
        <w:autoSpaceDE w:val="0"/>
        <w:autoSpaceDN w:val="0"/>
        <w:adjustRightInd w:val="0"/>
        <w:ind w:left="1440" w:hanging="720"/>
        <w:rPr>
          <w:rFonts w:cs="Times New Roman"/>
          <w:szCs w:val="24"/>
        </w:rPr>
      </w:pPr>
    </w:p>
    <w:p w14:paraId="31A314AD" w14:textId="77777777" w:rsidR="00AA063D" w:rsidRPr="006A4CD7" w:rsidRDefault="00AA063D" w:rsidP="00AA063D">
      <w:pPr>
        <w:autoSpaceDE w:val="0"/>
        <w:autoSpaceDN w:val="0"/>
        <w:adjustRightInd w:val="0"/>
        <w:ind w:left="1440" w:hanging="720"/>
        <w:rPr>
          <w:rFonts w:cs="Times New Roman"/>
          <w:szCs w:val="24"/>
        </w:rPr>
      </w:pPr>
      <w:r w:rsidRPr="006A4CD7">
        <w:rPr>
          <w:rFonts w:cs="Times New Roman"/>
          <w:szCs w:val="24"/>
        </w:rPr>
        <w:t>[11</w:t>
      </w:r>
      <w:r>
        <w:rPr>
          <w:rFonts w:cs="Times New Roman"/>
          <w:szCs w:val="24"/>
        </w:rPr>
        <w:t>.</w:t>
      </w:r>
      <w:r w:rsidRPr="006A4CD7">
        <w:rPr>
          <w:rFonts w:cs="Times New Roman"/>
          <w:szCs w:val="24"/>
        </w:rPr>
        <w:tab/>
        <w:t>whether a reasonable officer would have or should have accurately perceived a  mistaken fact;]</w:t>
      </w:r>
    </w:p>
    <w:p w14:paraId="585CFC13" w14:textId="77777777" w:rsidR="00AA063D" w:rsidRPr="006A4CD7" w:rsidRDefault="00AA063D" w:rsidP="00AA063D">
      <w:pPr>
        <w:autoSpaceDE w:val="0"/>
        <w:autoSpaceDN w:val="0"/>
        <w:adjustRightInd w:val="0"/>
        <w:ind w:left="1440" w:hanging="720"/>
        <w:rPr>
          <w:rFonts w:cs="Times New Roman"/>
          <w:szCs w:val="24"/>
        </w:rPr>
      </w:pPr>
    </w:p>
    <w:p w14:paraId="023F4CD5" w14:textId="77777777" w:rsidR="00AA063D" w:rsidRPr="006A4CD7" w:rsidRDefault="00AA063D" w:rsidP="00AA063D">
      <w:pPr>
        <w:autoSpaceDE w:val="0"/>
        <w:autoSpaceDN w:val="0"/>
        <w:adjustRightInd w:val="0"/>
        <w:ind w:left="1440" w:hanging="720"/>
        <w:rPr>
          <w:rFonts w:cs="Times New Roman"/>
          <w:szCs w:val="24"/>
        </w:rPr>
      </w:pPr>
      <w:r w:rsidRPr="006A4CD7">
        <w:rPr>
          <w:rFonts w:cs="Times New Roman"/>
          <w:szCs w:val="24"/>
        </w:rPr>
        <w:t>[12</w:t>
      </w:r>
      <w:r>
        <w:rPr>
          <w:rFonts w:cs="Times New Roman"/>
          <w:szCs w:val="24"/>
        </w:rPr>
        <w:t>.</w:t>
      </w:r>
      <w:r w:rsidRPr="006A4CD7">
        <w:rPr>
          <w:rFonts w:cs="Times New Roman"/>
          <w:szCs w:val="24"/>
        </w:rPr>
        <w:tab/>
        <w:t>whether there was probable cause for a reasonable officer to believe that the suspect had committed a crime involving the infliction or threatened infliction of serious physical harm; and]</w:t>
      </w:r>
    </w:p>
    <w:p w14:paraId="51733862" w14:textId="77777777" w:rsidR="00AA063D" w:rsidRPr="006A4CD7" w:rsidRDefault="00AA063D" w:rsidP="00AA063D">
      <w:pPr>
        <w:autoSpaceDE w:val="0"/>
        <w:autoSpaceDN w:val="0"/>
        <w:adjustRightInd w:val="0"/>
        <w:ind w:left="1440" w:hanging="720"/>
        <w:rPr>
          <w:rFonts w:cs="Times New Roman"/>
          <w:szCs w:val="24"/>
        </w:rPr>
      </w:pPr>
    </w:p>
    <w:p w14:paraId="4C46D980" w14:textId="77777777" w:rsidR="00AA063D" w:rsidRPr="006A4CD7" w:rsidRDefault="00AA063D" w:rsidP="00AA063D">
      <w:pPr>
        <w:autoSpaceDE w:val="0"/>
        <w:autoSpaceDN w:val="0"/>
        <w:adjustRightInd w:val="0"/>
        <w:ind w:left="1440" w:hanging="720"/>
        <w:rPr>
          <w:rFonts w:cs="Times New Roman"/>
          <w:szCs w:val="24"/>
        </w:rPr>
      </w:pPr>
      <w:r w:rsidRPr="006A4CD7">
        <w:rPr>
          <w:rFonts w:cs="Times New Roman"/>
          <w:szCs w:val="24"/>
        </w:rPr>
        <w:t>[13</w:t>
      </w:r>
      <w:r>
        <w:rPr>
          <w:rFonts w:cs="Times New Roman"/>
          <w:szCs w:val="24"/>
        </w:rPr>
        <w:t>.</w:t>
      </w:r>
      <w:r w:rsidRPr="006A4CD7">
        <w:rPr>
          <w:rFonts w:cs="Times New Roman"/>
          <w:szCs w:val="24"/>
        </w:rPr>
        <w:tab/>
      </w:r>
      <w:r w:rsidRPr="006A4CD7">
        <w:rPr>
          <w:rFonts w:cs="Times New Roman"/>
          <w:i/>
          <w:iCs/>
          <w:szCs w:val="24"/>
          <w:u w:val="single"/>
        </w:rPr>
        <w:t>insert other factors particular to the case.</w:t>
      </w:r>
      <w:r w:rsidRPr="006A4CD7">
        <w:rPr>
          <w:rFonts w:cs="Times New Roman"/>
          <w:szCs w:val="24"/>
        </w:rPr>
        <w:t>]</w:t>
      </w:r>
    </w:p>
    <w:p w14:paraId="5512E26F" w14:textId="77777777" w:rsidR="00AA063D" w:rsidRPr="006A4CD7" w:rsidRDefault="00AA063D" w:rsidP="00AA063D">
      <w:pPr>
        <w:autoSpaceDE w:val="0"/>
        <w:autoSpaceDN w:val="0"/>
        <w:adjustRightInd w:val="0"/>
        <w:rPr>
          <w:rFonts w:cs="Times New Roman"/>
          <w:szCs w:val="24"/>
        </w:rPr>
      </w:pPr>
    </w:p>
    <w:p w14:paraId="50859B7C" w14:textId="77777777" w:rsidR="00AA063D" w:rsidRPr="006A4CD7" w:rsidRDefault="00AA063D" w:rsidP="00AA063D">
      <w:pPr>
        <w:autoSpaceDE w:val="0"/>
        <w:autoSpaceDN w:val="0"/>
        <w:adjustRightInd w:val="0"/>
        <w:rPr>
          <w:rFonts w:cs="Times New Roman"/>
          <w:szCs w:val="24"/>
        </w:rPr>
      </w:pPr>
      <w:r w:rsidRPr="006A4CD7">
        <w:rPr>
          <w:rFonts w:cs="Times New Roman"/>
          <w:szCs w:val="24"/>
        </w:rPr>
        <w:tab/>
        <w:t xml:space="preserve">“Probable cause” exists when, under all of the circumstances known to the officer[s] at the time, an objectively reasonable police officer would conclude there is a fair probability that the plaintiff has committed or was committing a crime. </w:t>
      </w:r>
    </w:p>
    <w:p w14:paraId="30AAB1C0" w14:textId="77777777" w:rsidR="00AA063D" w:rsidRPr="006A4CD7" w:rsidRDefault="00AA063D" w:rsidP="00AA063D">
      <w:pPr>
        <w:autoSpaceDE w:val="0"/>
        <w:autoSpaceDN w:val="0"/>
        <w:adjustRightInd w:val="0"/>
        <w:jc w:val="center"/>
        <w:rPr>
          <w:rFonts w:cs="Times New Roman"/>
          <w:szCs w:val="24"/>
        </w:rPr>
      </w:pPr>
    </w:p>
    <w:p w14:paraId="1F71D417" w14:textId="77777777" w:rsidR="00AA063D" w:rsidRPr="006A4CD7" w:rsidRDefault="00AA063D" w:rsidP="00AA063D">
      <w:pPr>
        <w:autoSpaceDE w:val="0"/>
        <w:autoSpaceDN w:val="0"/>
        <w:adjustRightInd w:val="0"/>
        <w:jc w:val="center"/>
        <w:rPr>
          <w:rFonts w:cs="Times New Roman"/>
          <w:szCs w:val="24"/>
        </w:rPr>
      </w:pPr>
      <w:r w:rsidRPr="006A4CD7">
        <w:rPr>
          <w:rFonts w:cs="Times New Roman"/>
          <w:b/>
          <w:bCs/>
          <w:szCs w:val="24"/>
        </w:rPr>
        <w:t>Comment</w:t>
      </w:r>
    </w:p>
    <w:p w14:paraId="6CE238D0" w14:textId="77777777" w:rsidR="00AA063D" w:rsidRPr="006A4CD7" w:rsidRDefault="00AA063D" w:rsidP="00AA063D">
      <w:pPr>
        <w:autoSpaceDE w:val="0"/>
        <w:autoSpaceDN w:val="0"/>
        <w:adjustRightInd w:val="0"/>
        <w:jc w:val="center"/>
        <w:rPr>
          <w:rFonts w:cs="Times New Roman"/>
          <w:szCs w:val="24"/>
        </w:rPr>
      </w:pPr>
    </w:p>
    <w:p w14:paraId="3DAA8830" w14:textId="77777777" w:rsidR="00AA063D" w:rsidRPr="006A4CD7" w:rsidRDefault="00AA063D" w:rsidP="00AA063D">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9.3–9.8,  and in conjunction with Instruction 9.20 (Particular Rights—Fourth Amendment—Unreasonable Seizure of Person—Generally). </w:t>
      </w:r>
    </w:p>
    <w:p w14:paraId="52376065" w14:textId="77777777" w:rsidR="00AA063D" w:rsidRPr="006A4CD7" w:rsidRDefault="00AA063D" w:rsidP="00AA063D">
      <w:pPr>
        <w:autoSpaceDE w:val="0"/>
        <w:autoSpaceDN w:val="0"/>
        <w:adjustRightInd w:val="0"/>
        <w:rPr>
          <w:rFonts w:cs="Times New Roman"/>
          <w:szCs w:val="24"/>
        </w:rPr>
      </w:pPr>
    </w:p>
    <w:p w14:paraId="3179DD0E" w14:textId="77777777" w:rsidR="00AA063D" w:rsidRPr="006A4CD7" w:rsidRDefault="00AA063D" w:rsidP="00AA063D">
      <w:pPr>
        <w:autoSpaceDE w:val="0"/>
        <w:autoSpaceDN w:val="0"/>
        <w:adjustRightInd w:val="0"/>
        <w:rPr>
          <w:rFonts w:cs="Times New Roman"/>
          <w:szCs w:val="24"/>
        </w:rPr>
      </w:pPr>
      <w:r w:rsidRPr="006A4CD7">
        <w:rPr>
          <w:rFonts w:cs="Times New Roman"/>
          <w:szCs w:val="24"/>
        </w:rPr>
        <w:tab/>
        <w:t xml:space="preserve">In general, all claims of excessive force, whether deadly or not, should be analyzed under the objective reasonableness standard of the Fourth Amendment as applied in </w:t>
      </w:r>
      <w:r w:rsidRPr="006A4CD7">
        <w:rPr>
          <w:rFonts w:cs="Times New Roman"/>
          <w:i/>
          <w:iCs/>
          <w:szCs w:val="24"/>
        </w:rPr>
        <w:t>Scott v. Harris</w:t>
      </w:r>
      <w:r w:rsidRPr="006A4CD7">
        <w:rPr>
          <w:rFonts w:cs="Times New Roman"/>
          <w:szCs w:val="24"/>
        </w:rPr>
        <w:t>, 550</w:t>
      </w:r>
      <w:r w:rsidRPr="006A4CD7">
        <w:rPr>
          <w:rFonts w:cs="Times New Roman"/>
          <w:i/>
          <w:iCs/>
          <w:szCs w:val="24"/>
        </w:rPr>
        <w:t xml:space="preserve"> </w:t>
      </w:r>
      <w:r w:rsidRPr="006A4CD7">
        <w:rPr>
          <w:rFonts w:cs="Times New Roman"/>
          <w:szCs w:val="24"/>
        </w:rPr>
        <w:t>U.S. 372, 381-85 (2007),</w:t>
      </w:r>
      <w:r w:rsidRPr="006A4CD7">
        <w:rPr>
          <w:rFonts w:cs="Times New Roman"/>
          <w:i/>
          <w:iCs/>
          <w:szCs w:val="24"/>
        </w:rPr>
        <w:t xml:space="preserve"> Graham v. Connor</w:t>
      </w:r>
      <w:r w:rsidRPr="006A4CD7">
        <w:rPr>
          <w:rFonts w:cs="Times New Roman"/>
          <w:szCs w:val="24"/>
        </w:rPr>
        <w:t xml:space="preserve">, 490 U.S. 386, 397 (1989), </w:t>
      </w:r>
      <w:r w:rsidRPr="006A4CD7">
        <w:rPr>
          <w:rFonts w:cs="Times New Roman"/>
          <w:i/>
          <w:iCs/>
          <w:szCs w:val="24"/>
        </w:rPr>
        <w:t>Tennessee v. Garner</w:t>
      </w:r>
      <w:r w:rsidRPr="006A4CD7">
        <w:rPr>
          <w:rFonts w:cs="Times New Roman"/>
          <w:szCs w:val="24"/>
        </w:rPr>
        <w:t xml:space="preserve">, 471 U.S. 1, 7-12 (1985), and </w:t>
      </w:r>
      <w:proofErr w:type="spellStart"/>
      <w:r w:rsidRPr="006A4CD7">
        <w:rPr>
          <w:rFonts w:cs="Times New Roman"/>
          <w:i/>
          <w:iCs/>
          <w:szCs w:val="24"/>
        </w:rPr>
        <w:t>Nehad</w:t>
      </w:r>
      <w:proofErr w:type="spellEnd"/>
      <w:r w:rsidRPr="006A4CD7">
        <w:rPr>
          <w:rFonts w:cs="Times New Roman"/>
          <w:i/>
          <w:iCs/>
          <w:szCs w:val="24"/>
        </w:rPr>
        <w:t xml:space="preserve"> v. Browder</w:t>
      </w:r>
      <w:r w:rsidRPr="006A4CD7">
        <w:rPr>
          <w:rFonts w:cs="Times New Roman"/>
          <w:szCs w:val="24"/>
        </w:rPr>
        <w:t xml:space="preserve">, 929 F.3d 1125, 1132 (9th Cir. 2019).  If a suspect no longer poses an immediate threat, then the subsequent use of deadly force is unreasonable.  </w:t>
      </w:r>
      <w:r w:rsidRPr="006A4CD7">
        <w:rPr>
          <w:rFonts w:cs="Times New Roman"/>
          <w:i/>
          <w:iCs/>
          <w:szCs w:val="24"/>
        </w:rPr>
        <w:t>Zion v. County of Orange</w:t>
      </w:r>
      <w:r w:rsidRPr="006A4CD7">
        <w:rPr>
          <w:rFonts w:cs="Times New Roman"/>
          <w:szCs w:val="24"/>
        </w:rPr>
        <w:t xml:space="preserve">, 874 F.3d 1072, 1076 (9th Cir. 2017).  Whether the use of deadly force is reasonable is highly fact-specific.  </w:t>
      </w:r>
      <w:r w:rsidRPr="006A4CD7">
        <w:rPr>
          <w:rFonts w:cs="Times New Roman"/>
          <w:i/>
          <w:iCs/>
          <w:szCs w:val="24"/>
        </w:rPr>
        <w:t>Wilkinson v. Torres</w:t>
      </w:r>
      <w:r w:rsidRPr="006A4CD7">
        <w:rPr>
          <w:rFonts w:cs="Times New Roman"/>
          <w:szCs w:val="24"/>
        </w:rPr>
        <w:t xml:space="preserve">, 610 F.3d 546, 551 (9th Cir. 2010). </w:t>
      </w:r>
    </w:p>
    <w:p w14:paraId="2B223E2D" w14:textId="77777777" w:rsidR="00AA063D" w:rsidRPr="006A4CD7" w:rsidRDefault="00AA063D" w:rsidP="00AA063D">
      <w:pPr>
        <w:autoSpaceDE w:val="0"/>
        <w:autoSpaceDN w:val="0"/>
        <w:adjustRightInd w:val="0"/>
        <w:rPr>
          <w:rFonts w:cs="Times New Roman"/>
          <w:szCs w:val="24"/>
        </w:rPr>
      </w:pPr>
    </w:p>
    <w:p w14:paraId="5BB800E3" w14:textId="77777777" w:rsidR="00AA063D" w:rsidRPr="006A4CD7" w:rsidRDefault="00AA063D" w:rsidP="00AA063D">
      <w:pPr>
        <w:autoSpaceDE w:val="0"/>
        <w:autoSpaceDN w:val="0"/>
        <w:adjustRightInd w:val="0"/>
        <w:ind w:left="720" w:right="720"/>
        <w:rPr>
          <w:rFonts w:cs="Times New Roman"/>
          <w:szCs w:val="24"/>
        </w:rPr>
      </w:pPr>
      <w:r w:rsidRPr="006A4CD7">
        <w:rPr>
          <w:rFonts w:cs="Times New Roman"/>
          <w:szCs w:val="24"/>
        </w:rPr>
        <w:t xml:space="preserve">In assessing reasonableness, the court should give “careful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 </w:t>
      </w:r>
      <w:r w:rsidRPr="006A4CD7">
        <w:rPr>
          <w:rFonts w:cs="Times New Roman"/>
          <w:i/>
          <w:iCs/>
          <w:szCs w:val="24"/>
        </w:rPr>
        <w:t xml:space="preserve"> Graham</w:t>
      </w:r>
      <w:r w:rsidRPr="006A4CD7">
        <w:rPr>
          <w:rFonts w:cs="Times New Roman"/>
          <w:szCs w:val="24"/>
        </w:rPr>
        <w:t xml:space="preserve">, 490 U.S. at 396.  “The ‘reasonableness’ of a particular use of force must be judged from the perspective of a reasonable officer on the scene, rather than with the 20/20 vision of hindsight.”  </w:t>
      </w:r>
      <w:r w:rsidRPr="006A4CD7">
        <w:rPr>
          <w:rFonts w:cs="Times New Roman"/>
          <w:i/>
          <w:iCs/>
          <w:szCs w:val="24"/>
        </w:rPr>
        <w:t>Id.</w:t>
      </w:r>
      <w:r w:rsidRPr="006A4CD7">
        <w:rPr>
          <w:rFonts w:cs="Times New Roman"/>
          <w:szCs w:val="24"/>
        </w:rPr>
        <w:t xml:space="preserve"> (citation omitted).  In addition, “[t]he calculus of reasonableness must embody allowance for the fact that police officers are often forced to make split-second judgments—in circumstances that are tense, uncertain, and rapidly evolving—about the amount of force that is necessary in a particular situation.” </w:t>
      </w:r>
      <w:r w:rsidRPr="006A4CD7">
        <w:rPr>
          <w:rFonts w:cs="Times New Roman"/>
          <w:i/>
          <w:iCs/>
          <w:szCs w:val="24"/>
        </w:rPr>
        <w:t xml:space="preserve"> Id.</w:t>
      </w:r>
      <w:r w:rsidRPr="006A4CD7">
        <w:rPr>
          <w:rFonts w:cs="Times New Roman"/>
          <w:szCs w:val="24"/>
        </w:rPr>
        <w:t xml:space="preserve"> at 396-97.</w:t>
      </w:r>
    </w:p>
    <w:p w14:paraId="3D06FBAD" w14:textId="77777777" w:rsidR="00AA063D" w:rsidRPr="006A4CD7" w:rsidRDefault="00AA063D" w:rsidP="00AA063D">
      <w:pPr>
        <w:autoSpaceDE w:val="0"/>
        <w:autoSpaceDN w:val="0"/>
        <w:adjustRightInd w:val="0"/>
        <w:rPr>
          <w:rFonts w:cs="Times New Roman"/>
          <w:szCs w:val="24"/>
        </w:rPr>
      </w:pPr>
    </w:p>
    <w:p w14:paraId="4FF1F550" w14:textId="77777777" w:rsidR="00AA063D" w:rsidRPr="006A4CD7" w:rsidRDefault="00AA063D" w:rsidP="00AA063D">
      <w:pPr>
        <w:autoSpaceDE w:val="0"/>
        <w:autoSpaceDN w:val="0"/>
        <w:adjustRightInd w:val="0"/>
        <w:rPr>
          <w:rFonts w:cs="Times New Roman"/>
          <w:szCs w:val="24"/>
        </w:rPr>
      </w:pPr>
      <w:r w:rsidRPr="006A4CD7">
        <w:rPr>
          <w:rFonts w:cs="Times New Roman"/>
          <w:i/>
          <w:iCs/>
          <w:szCs w:val="24"/>
        </w:rPr>
        <w:t xml:space="preserve">Id. </w:t>
      </w:r>
      <w:r w:rsidRPr="006A4CD7">
        <w:rPr>
          <w:rFonts w:cs="Times New Roman"/>
          <w:szCs w:val="24"/>
        </w:rPr>
        <w:t xml:space="preserve">at 550.  </w:t>
      </w:r>
    </w:p>
    <w:p w14:paraId="105CD342" w14:textId="77777777" w:rsidR="00AA063D" w:rsidRPr="006A4CD7" w:rsidRDefault="00AA063D" w:rsidP="00AA063D">
      <w:pPr>
        <w:autoSpaceDE w:val="0"/>
        <w:autoSpaceDN w:val="0"/>
        <w:adjustRightInd w:val="0"/>
        <w:rPr>
          <w:rFonts w:cs="Times New Roman"/>
          <w:szCs w:val="24"/>
        </w:rPr>
      </w:pPr>
    </w:p>
    <w:p w14:paraId="5421529B" w14:textId="77777777" w:rsidR="00AA063D" w:rsidRPr="006A4CD7" w:rsidRDefault="00AA063D" w:rsidP="00AA063D">
      <w:pPr>
        <w:autoSpaceDE w:val="0"/>
        <w:autoSpaceDN w:val="0"/>
        <w:adjustRightInd w:val="0"/>
        <w:rPr>
          <w:rFonts w:cs="Times New Roman"/>
          <w:szCs w:val="24"/>
        </w:rPr>
      </w:pPr>
      <w:r w:rsidRPr="006A4CD7">
        <w:rPr>
          <w:rFonts w:cs="Times New Roman"/>
          <w:szCs w:val="24"/>
        </w:rPr>
        <w:lastRenderedPageBreak/>
        <w:tab/>
        <w:t xml:space="preserve">Moreover, as the Ninth Circuit has noted, the Supreme Court did not limit the reasonableness inquiry to the factors set forth in </w:t>
      </w:r>
      <w:r w:rsidRPr="006A4CD7">
        <w:rPr>
          <w:rFonts w:cs="Times New Roman"/>
          <w:i/>
          <w:iCs/>
          <w:szCs w:val="24"/>
        </w:rPr>
        <w:t>Graham</w:t>
      </w:r>
      <w:r w:rsidRPr="006A4CD7">
        <w:rPr>
          <w:rFonts w:cs="Times New Roman"/>
          <w:szCs w:val="24"/>
        </w:rPr>
        <w:t>:</w:t>
      </w:r>
    </w:p>
    <w:p w14:paraId="1D6AF707" w14:textId="77777777" w:rsidR="00AA063D" w:rsidRPr="006A4CD7" w:rsidRDefault="00AA063D" w:rsidP="00AA063D">
      <w:pPr>
        <w:autoSpaceDE w:val="0"/>
        <w:autoSpaceDN w:val="0"/>
        <w:adjustRightInd w:val="0"/>
        <w:rPr>
          <w:rFonts w:cs="Times New Roman"/>
          <w:szCs w:val="24"/>
        </w:rPr>
      </w:pPr>
    </w:p>
    <w:p w14:paraId="2B937E8B" w14:textId="77777777" w:rsidR="00AA063D" w:rsidRPr="006A4CD7" w:rsidRDefault="00AA063D" w:rsidP="00AA063D">
      <w:pPr>
        <w:autoSpaceDE w:val="0"/>
        <w:autoSpaceDN w:val="0"/>
        <w:adjustRightInd w:val="0"/>
        <w:ind w:left="720" w:right="720"/>
        <w:rPr>
          <w:rFonts w:cs="Times New Roman"/>
          <w:szCs w:val="24"/>
        </w:rPr>
      </w:pPr>
      <w:r w:rsidRPr="006A4CD7">
        <w:rPr>
          <w:rFonts w:cs="Times New Roman"/>
          <w:szCs w:val="24"/>
        </w:rPr>
        <w:t>Because the test of reasonableness under the Fourth Amendment is not capable of precise definition or mechanical application, the reasonableness of a seizure must instead be assessed by carefully considering the objective facts and circumstances that confronted the arresting officers.  In some cases, for example, the availability of alternative methods of capturing or subduing a suspect may be a factor to consider.</w:t>
      </w:r>
    </w:p>
    <w:p w14:paraId="546A5A69" w14:textId="77777777" w:rsidR="00AA063D" w:rsidRPr="006A4CD7" w:rsidRDefault="00AA063D" w:rsidP="00AA063D">
      <w:pPr>
        <w:autoSpaceDE w:val="0"/>
        <w:autoSpaceDN w:val="0"/>
        <w:adjustRightInd w:val="0"/>
        <w:rPr>
          <w:rFonts w:cs="Times New Roman"/>
          <w:szCs w:val="24"/>
        </w:rPr>
      </w:pPr>
    </w:p>
    <w:p w14:paraId="0F1B45AA" w14:textId="77777777" w:rsidR="00AA063D" w:rsidRPr="006A4CD7" w:rsidRDefault="00AA063D" w:rsidP="00AA063D">
      <w:pPr>
        <w:autoSpaceDE w:val="0"/>
        <w:autoSpaceDN w:val="0"/>
        <w:adjustRightInd w:val="0"/>
        <w:rPr>
          <w:rFonts w:cs="Times New Roman"/>
          <w:i/>
          <w:iCs/>
          <w:szCs w:val="24"/>
        </w:rPr>
      </w:pPr>
      <w:r w:rsidRPr="006A4CD7">
        <w:rPr>
          <w:rFonts w:cs="Times New Roman"/>
          <w:i/>
          <w:iCs/>
          <w:szCs w:val="24"/>
        </w:rPr>
        <w:t>Smith v. City of Hemet</w:t>
      </w:r>
      <w:r w:rsidRPr="006A4CD7">
        <w:rPr>
          <w:rFonts w:cs="Times New Roman"/>
          <w:szCs w:val="24"/>
        </w:rPr>
        <w:t>, 394 F.3d 689, 701 (9th Cir. 2005) (citation and internal quotation marks omitted).</w:t>
      </w:r>
      <w:r w:rsidRPr="006A4CD7">
        <w:rPr>
          <w:rFonts w:cs="Times New Roman"/>
          <w:i/>
          <w:iCs/>
          <w:szCs w:val="24"/>
        </w:rPr>
        <w:t xml:space="preserve">  </w:t>
      </w:r>
    </w:p>
    <w:p w14:paraId="244C443B" w14:textId="77777777" w:rsidR="00AA063D" w:rsidRPr="006A4CD7" w:rsidRDefault="00AA063D" w:rsidP="00AA063D">
      <w:pPr>
        <w:autoSpaceDE w:val="0"/>
        <w:autoSpaceDN w:val="0"/>
        <w:adjustRightInd w:val="0"/>
        <w:rPr>
          <w:rFonts w:cs="Times New Roman"/>
          <w:i/>
          <w:iCs/>
          <w:szCs w:val="24"/>
        </w:rPr>
      </w:pPr>
    </w:p>
    <w:p w14:paraId="1CE24B20" w14:textId="77777777" w:rsidR="00AA063D" w:rsidRPr="006A4CD7" w:rsidRDefault="00AA063D" w:rsidP="00AA063D">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On the other hand, it is not error for a trial court to decline to instruct explicitly on the availability of “alternative courses of action” when the instructions as a whole “fairly and adequately cover[ed] the issues presented.”  </w:t>
      </w:r>
      <w:r w:rsidRPr="006A4CD7">
        <w:rPr>
          <w:rFonts w:cs="Times New Roman"/>
          <w:i/>
          <w:iCs/>
          <w:szCs w:val="24"/>
        </w:rPr>
        <w:t>Brewer v. City of Napa</w:t>
      </w:r>
      <w:r w:rsidRPr="006A4CD7">
        <w:rPr>
          <w:rFonts w:cs="Times New Roman"/>
          <w:szCs w:val="24"/>
        </w:rPr>
        <w:t>, 210 F.3d 1093, 1096-97 (9th Cir. 2000).  Importantly, although officers must consider the availability of other, less</w:t>
      </w:r>
      <w:r>
        <w:rPr>
          <w:rFonts w:cs="Times New Roman"/>
          <w:szCs w:val="24"/>
        </w:rPr>
        <w:t xml:space="preserve"> </w:t>
      </w:r>
      <w:r w:rsidRPr="006A4CD7">
        <w:rPr>
          <w:rFonts w:cs="Times New Roman"/>
          <w:szCs w:val="24"/>
        </w:rPr>
        <w:t>intrusive means, officers “need not avail themselves of the least intrusive means of responding to</w:t>
      </w:r>
      <w:r>
        <w:rPr>
          <w:rFonts w:cs="Times New Roman"/>
          <w:szCs w:val="24"/>
        </w:rPr>
        <w:t xml:space="preserve"> </w:t>
      </w:r>
      <w:r w:rsidRPr="006A4CD7">
        <w:rPr>
          <w:rFonts w:cs="Times New Roman"/>
          <w:szCs w:val="24"/>
        </w:rPr>
        <w:t>an exigent situation; they need only act within that range of conduct we identify as reasonable.”</w:t>
      </w:r>
      <w:r>
        <w:rPr>
          <w:rFonts w:cs="Times New Roman"/>
          <w:szCs w:val="24"/>
        </w:rPr>
        <w:t xml:space="preserve"> </w:t>
      </w:r>
      <w:r w:rsidRPr="006A4CD7">
        <w:rPr>
          <w:rFonts w:cs="Times New Roman"/>
          <w:i/>
          <w:iCs/>
          <w:szCs w:val="24"/>
        </w:rPr>
        <w:t xml:space="preserve">Hughes v. </w:t>
      </w:r>
      <w:proofErr w:type="spellStart"/>
      <w:r w:rsidRPr="006A4CD7">
        <w:rPr>
          <w:rFonts w:cs="Times New Roman"/>
          <w:i/>
          <w:iCs/>
          <w:szCs w:val="24"/>
        </w:rPr>
        <w:t>Kisela</w:t>
      </w:r>
      <w:proofErr w:type="spellEnd"/>
      <w:r w:rsidRPr="006A4CD7">
        <w:rPr>
          <w:rFonts w:cs="Times New Roman"/>
          <w:szCs w:val="24"/>
        </w:rPr>
        <w:t xml:space="preserve">, 841 F.3d 1081, 1087 (9th Cir. 2016) (quoting </w:t>
      </w:r>
      <w:r w:rsidRPr="006A4CD7">
        <w:rPr>
          <w:rFonts w:cs="Times New Roman"/>
          <w:i/>
          <w:iCs/>
          <w:szCs w:val="24"/>
        </w:rPr>
        <w:t>Scott v. Henrich</w:t>
      </w:r>
      <w:r w:rsidRPr="006A4CD7">
        <w:rPr>
          <w:rFonts w:cs="Times New Roman"/>
          <w:szCs w:val="24"/>
        </w:rPr>
        <w:t>, 39 F.3d 912,</w:t>
      </w:r>
      <w:r>
        <w:rPr>
          <w:rFonts w:cs="Times New Roman"/>
          <w:szCs w:val="24"/>
        </w:rPr>
        <w:t xml:space="preserve"> </w:t>
      </w:r>
      <w:r w:rsidRPr="006A4CD7">
        <w:rPr>
          <w:rFonts w:cs="Times New Roman"/>
          <w:szCs w:val="24"/>
        </w:rPr>
        <w:t>915 (9th Cir. 1995)).</w:t>
      </w:r>
    </w:p>
    <w:p w14:paraId="3068CD3D" w14:textId="77777777" w:rsidR="00AA063D" w:rsidRPr="006A4CD7" w:rsidRDefault="00AA063D" w:rsidP="00AA063D">
      <w:pPr>
        <w:autoSpaceDE w:val="0"/>
        <w:autoSpaceDN w:val="0"/>
        <w:adjustRightInd w:val="0"/>
        <w:rPr>
          <w:rFonts w:cs="Times New Roman"/>
          <w:szCs w:val="24"/>
        </w:rPr>
      </w:pPr>
    </w:p>
    <w:p w14:paraId="3F9662FE" w14:textId="77777777" w:rsidR="00AA063D" w:rsidRPr="006A4CD7" w:rsidRDefault="00AA063D" w:rsidP="00AA063D">
      <w:pPr>
        <w:autoSpaceDE w:val="0"/>
        <w:autoSpaceDN w:val="0"/>
        <w:adjustRightInd w:val="0"/>
        <w:rPr>
          <w:rFonts w:cs="Times New Roman"/>
          <w:szCs w:val="24"/>
        </w:rPr>
      </w:pPr>
      <w:r w:rsidRPr="006A4CD7">
        <w:rPr>
          <w:rFonts w:cs="Times New Roman"/>
          <w:szCs w:val="24"/>
        </w:rPr>
        <w:tab/>
        <w:t xml:space="preserve">The Ninth Circuit has repeatedly emphasized that the most important factor is “whether the suspect posed an immediate threat to the safety of the officers or others.”  </w:t>
      </w:r>
      <w:r w:rsidRPr="006A4CD7">
        <w:rPr>
          <w:rFonts w:cs="Times New Roman"/>
          <w:i/>
          <w:iCs/>
          <w:szCs w:val="24"/>
        </w:rPr>
        <w:t xml:space="preserve">See, e.g., S.B. v. </w:t>
      </w:r>
      <w:proofErr w:type="spellStart"/>
      <w:r w:rsidRPr="006A4CD7">
        <w:rPr>
          <w:rFonts w:cs="Times New Roman"/>
          <w:i/>
          <w:iCs/>
          <w:szCs w:val="24"/>
        </w:rPr>
        <w:t>Cty</w:t>
      </w:r>
      <w:proofErr w:type="spellEnd"/>
      <w:r w:rsidRPr="006A4CD7">
        <w:rPr>
          <w:rFonts w:cs="Times New Roman"/>
          <w:i/>
          <w:iCs/>
          <w:szCs w:val="24"/>
        </w:rPr>
        <w:t>. of San Diego</w:t>
      </w:r>
      <w:r w:rsidRPr="006A4CD7">
        <w:rPr>
          <w:rFonts w:cs="Times New Roman"/>
          <w:szCs w:val="24"/>
        </w:rPr>
        <w:t xml:space="preserve">, 864 F.3d 1010, 1013 (9th Cir. 2017) (internal quotation marks omitted); </w:t>
      </w:r>
      <w:proofErr w:type="spellStart"/>
      <w:r w:rsidRPr="006A4CD7">
        <w:rPr>
          <w:rFonts w:cs="Times New Roman"/>
          <w:i/>
          <w:iCs/>
          <w:szCs w:val="24"/>
        </w:rPr>
        <w:t>Orn</w:t>
      </w:r>
      <w:proofErr w:type="spellEnd"/>
      <w:r w:rsidRPr="006A4CD7">
        <w:rPr>
          <w:rFonts w:cs="Times New Roman"/>
          <w:i/>
          <w:iCs/>
          <w:szCs w:val="24"/>
        </w:rPr>
        <w:t xml:space="preserve"> v. City of Tacoma</w:t>
      </w:r>
      <w:r w:rsidRPr="006A4CD7">
        <w:rPr>
          <w:rFonts w:cs="Times New Roman"/>
          <w:szCs w:val="24"/>
        </w:rPr>
        <w:t>, 949 F.3d 1167 (9th Cir. 2020);</w:t>
      </w:r>
      <w:r w:rsidRPr="006A4CD7">
        <w:rPr>
          <w:rFonts w:cs="Times New Roman"/>
          <w:i/>
          <w:iCs/>
          <w:szCs w:val="24"/>
        </w:rPr>
        <w:t xml:space="preserve"> </w:t>
      </w:r>
      <w:proofErr w:type="spellStart"/>
      <w:r w:rsidRPr="006A4CD7">
        <w:rPr>
          <w:rFonts w:cs="Times New Roman"/>
          <w:i/>
          <w:iCs/>
          <w:szCs w:val="24"/>
        </w:rPr>
        <w:t>Tuuamalemalo</w:t>
      </w:r>
      <w:proofErr w:type="spellEnd"/>
      <w:r w:rsidRPr="006A4CD7">
        <w:rPr>
          <w:rFonts w:cs="Times New Roman"/>
          <w:i/>
          <w:iCs/>
          <w:szCs w:val="24"/>
        </w:rPr>
        <w:t xml:space="preserve"> v. Greene</w:t>
      </w:r>
      <w:r w:rsidRPr="006A4CD7">
        <w:rPr>
          <w:rFonts w:cs="Times New Roman"/>
          <w:szCs w:val="24"/>
        </w:rPr>
        <w:t xml:space="preserve">, 946 F.3d 471, 477 (9th Cir. 2019) (concluding that “use of a chokehold on a non-resisting restrained person violates the Fourth Amendment”).  If deadly force is used the officer must have “probable cause to believe that the suspect poses a significant threat of death or serious physical injury.”  </w:t>
      </w:r>
      <w:r w:rsidRPr="006A4CD7">
        <w:rPr>
          <w:rFonts w:cs="Times New Roman"/>
          <w:i/>
          <w:iCs/>
          <w:szCs w:val="24"/>
        </w:rPr>
        <w:t>Tennessee v. Garner</w:t>
      </w:r>
      <w:r w:rsidRPr="006A4CD7">
        <w:rPr>
          <w:rFonts w:cs="Times New Roman"/>
          <w:szCs w:val="24"/>
        </w:rPr>
        <w:t>, 471 U.S. 1, 3 (1985).</w:t>
      </w:r>
    </w:p>
    <w:p w14:paraId="07608F35" w14:textId="77777777" w:rsidR="00AA063D" w:rsidRPr="006A4CD7" w:rsidRDefault="00AA063D" w:rsidP="00AA063D">
      <w:pPr>
        <w:autoSpaceDE w:val="0"/>
        <w:autoSpaceDN w:val="0"/>
        <w:adjustRightInd w:val="0"/>
        <w:rPr>
          <w:rFonts w:cs="Times New Roman"/>
          <w:szCs w:val="24"/>
        </w:rPr>
      </w:pPr>
    </w:p>
    <w:p w14:paraId="1E628B12" w14:textId="77777777" w:rsidR="00AA063D" w:rsidRPr="006A4CD7" w:rsidRDefault="00AA063D" w:rsidP="00AA063D">
      <w:pPr>
        <w:autoSpaceDE w:val="0"/>
        <w:autoSpaceDN w:val="0"/>
        <w:adjustRightInd w:val="0"/>
        <w:rPr>
          <w:rFonts w:cs="Times New Roman"/>
          <w:szCs w:val="24"/>
        </w:rPr>
      </w:pPr>
      <w:r w:rsidRPr="006A4CD7">
        <w:rPr>
          <w:rFonts w:cs="Times New Roman"/>
          <w:szCs w:val="24"/>
        </w:rPr>
        <w:tab/>
        <w:t xml:space="preserve">It is not error for a trial court to decline to single out one factor in the reasonableness inquiry, when the instructions properly charge the jury to consider all of the circumstances that confronted the officer.  </w:t>
      </w:r>
      <w:r w:rsidRPr="006A4CD7">
        <w:rPr>
          <w:rFonts w:cs="Times New Roman"/>
          <w:i/>
          <w:iCs/>
          <w:szCs w:val="24"/>
        </w:rPr>
        <w:t>See Lam v. City of San Jose</w:t>
      </w:r>
      <w:r w:rsidRPr="006A4CD7">
        <w:rPr>
          <w:rFonts w:cs="Times New Roman"/>
          <w:szCs w:val="24"/>
        </w:rPr>
        <w:t>, 869 F.3d 1077, 1087 (9th Cir. 2017) (affirming district court declining “bad tactics” instruction).</w:t>
      </w:r>
    </w:p>
    <w:p w14:paraId="457DE876" w14:textId="77777777" w:rsidR="00AA063D" w:rsidRPr="006A4CD7" w:rsidRDefault="00AA063D" w:rsidP="00AA063D">
      <w:pPr>
        <w:autoSpaceDE w:val="0"/>
        <w:autoSpaceDN w:val="0"/>
        <w:adjustRightInd w:val="0"/>
        <w:rPr>
          <w:rFonts w:cs="Times New Roman"/>
          <w:szCs w:val="24"/>
        </w:rPr>
      </w:pPr>
    </w:p>
    <w:p w14:paraId="0A4BD62E" w14:textId="77777777" w:rsidR="00AA063D" w:rsidRPr="006A4CD7" w:rsidRDefault="00AA063D" w:rsidP="00AA063D">
      <w:pPr>
        <w:autoSpaceDE w:val="0"/>
        <w:autoSpaceDN w:val="0"/>
        <w:adjustRightInd w:val="0"/>
        <w:rPr>
          <w:rFonts w:cs="Times New Roman"/>
          <w:szCs w:val="24"/>
        </w:rPr>
      </w:pPr>
      <w:r w:rsidRPr="006A4CD7">
        <w:rPr>
          <w:rFonts w:cs="Times New Roman"/>
          <w:szCs w:val="24"/>
        </w:rPr>
        <w:tab/>
        <w:t>The first factor, “the nature of the crime or other circumstances known to the officer at</w:t>
      </w:r>
      <w:r>
        <w:rPr>
          <w:rFonts w:cs="Times New Roman"/>
          <w:szCs w:val="24"/>
        </w:rPr>
        <w:t xml:space="preserve"> </w:t>
      </w:r>
      <w:r w:rsidRPr="006A4CD7">
        <w:rPr>
          <w:rFonts w:cs="Times New Roman"/>
          <w:szCs w:val="24"/>
        </w:rPr>
        <w:t>the time force was applied,” should be modified as appropriate when the officers are acting under</w:t>
      </w:r>
      <w:r>
        <w:rPr>
          <w:rFonts w:cs="Times New Roman"/>
          <w:szCs w:val="24"/>
        </w:rPr>
        <w:t xml:space="preserve"> </w:t>
      </w:r>
      <w:r w:rsidRPr="006A4CD7">
        <w:rPr>
          <w:rFonts w:cs="Times New Roman"/>
          <w:szCs w:val="24"/>
        </w:rPr>
        <w:t>their community caretaking function rather than to counter crime.  In such circumstances, “the</w:t>
      </w:r>
      <w:r>
        <w:rPr>
          <w:rFonts w:cs="Times New Roman"/>
          <w:szCs w:val="24"/>
        </w:rPr>
        <w:t xml:space="preserve"> </w:t>
      </w:r>
      <w:r w:rsidRPr="006A4CD7">
        <w:rPr>
          <w:rFonts w:cs="Times New Roman"/>
          <w:szCs w:val="24"/>
        </w:rPr>
        <w:t>better analytical approach” focuses the inquiry on the seriousness of the situation that gives rise</w:t>
      </w:r>
      <w:r>
        <w:rPr>
          <w:rFonts w:cs="Times New Roman"/>
          <w:szCs w:val="24"/>
        </w:rPr>
        <w:t xml:space="preserve"> </w:t>
      </w:r>
      <w:r w:rsidRPr="006A4CD7">
        <w:rPr>
          <w:rFonts w:cs="Times New Roman"/>
          <w:szCs w:val="24"/>
        </w:rPr>
        <w:t xml:space="preserve">to the community-caretaking function.  </w:t>
      </w:r>
      <w:r>
        <w:rPr>
          <w:rFonts w:cs="Times New Roman"/>
          <w:szCs w:val="24"/>
        </w:rPr>
        <w:br/>
      </w:r>
      <w:r w:rsidRPr="006A4CD7">
        <w:rPr>
          <w:rFonts w:cs="Times New Roman"/>
          <w:i/>
          <w:iCs/>
          <w:szCs w:val="24"/>
        </w:rPr>
        <w:t xml:space="preserve">See Ames v. King </w:t>
      </w:r>
      <w:proofErr w:type="spellStart"/>
      <w:r w:rsidRPr="006A4CD7">
        <w:rPr>
          <w:rFonts w:cs="Times New Roman"/>
          <w:i/>
          <w:iCs/>
          <w:szCs w:val="24"/>
        </w:rPr>
        <w:t>Cnty</w:t>
      </w:r>
      <w:proofErr w:type="spellEnd"/>
      <w:r w:rsidRPr="006A4CD7">
        <w:rPr>
          <w:rFonts w:cs="Times New Roman"/>
          <w:szCs w:val="24"/>
        </w:rPr>
        <w:t>., 846 F.3d 340, 349 (9</w:t>
      </w:r>
      <w:r w:rsidRPr="00060129">
        <w:rPr>
          <w:rFonts w:cs="Times New Roman"/>
          <w:szCs w:val="24"/>
          <w:vertAlign w:val="superscript"/>
        </w:rPr>
        <w:t>th</w:t>
      </w:r>
      <w:r>
        <w:rPr>
          <w:rFonts w:cs="Times New Roman"/>
          <w:szCs w:val="24"/>
        </w:rPr>
        <w:t xml:space="preserve"> </w:t>
      </w:r>
      <w:r w:rsidRPr="006A4CD7">
        <w:rPr>
          <w:rFonts w:cs="Times New Roman"/>
          <w:szCs w:val="24"/>
        </w:rPr>
        <w:t xml:space="preserve">Cir. 2017). </w:t>
      </w:r>
    </w:p>
    <w:p w14:paraId="1A6457FD" w14:textId="77777777" w:rsidR="00AA063D" w:rsidRPr="006A4CD7" w:rsidRDefault="00AA063D" w:rsidP="00AA063D">
      <w:pPr>
        <w:autoSpaceDE w:val="0"/>
        <w:autoSpaceDN w:val="0"/>
        <w:adjustRightInd w:val="0"/>
        <w:rPr>
          <w:rFonts w:cs="Times New Roman"/>
          <w:szCs w:val="24"/>
        </w:rPr>
      </w:pPr>
    </w:p>
    <w:p w14:paraId="16903E02" w14:textId="77777777" w:rsidR="00AA063D" w:rsidRPr="006A4CD7" w:rsidRDefault="00AA063D" w:rsidP="00AA063D">
      <w:pPr>
        <w:autoSpaceDE w:val="0"/>
        <w:autoSpaceDN w:val="0"/>
        <w:adjustRightInd w:val="0"/>
        <w:rPr>
          <w:rFonts w:cs="Times New Roman"/>
          <w:szCs w:val="24"/>
        </w:rPr>
      </w:pPr>
      <w:r w:rsidRPr="006A4CD7">
        <w:rPr>
          <w:rFonts w:cs="Times New Roman"/>
          <w:szCs w:val="24"/>
        </w:rPr>
        <w:tab/>
        <w:t xml:space="preserve">Other relevant factors may include (1) whether proper warnings were given and whether it should have been apparent to officers that the person they used force against was emotionally disturbed, </w:t>
      </w:r>
      <w:r w:rsidRPr="006A4CD7">
        <w:rPr>
          <w:rFonts w:cs="Times New Roman"/>
          <w:i/>
          <w:iCs/>
          <w:szCs w:val="24"/>
        </w:rPr>
        <w:t>see Glenn v. Washington County</w:t>
      </w:r>
      <w:r w:rsidRPr="006A4CD7">
        <w:rPr>
          <w:rFonts w:cs="Times New Roman"/>
          <w:szCs w:val="24"/>
        </w:rPr>
        <w:t xml:space="preserve">, 673 F.3d 864, 872 (9th Cir. 2011); </w:t>
      </w:r>
      <w:r w:rsidRPr="006A4CD7">
        <w:rPr>
          <w:rFonts w:cs="Times New Roman"/>
          <w:i/>
          <w:iCs/>
          <w:szCs w:val="24"/>
        </w:rPr>
        <w:t xml:space="preserve">see also </w:t>
      </w:r>
      <w:proofErr w:type="spellStart"/>
      <w:r w:rsidRPr="006A4CD7">
        <w:rPr>
          <w:rFonts w:cs="Times New Roman"/>
          <w:i/>
          <w:iCs/>
          <w:szCs w:val="24"/>
        </w:rPr>
        <w:t>Deorle</w:t>
      </w:r>
      <w:proofErr w:type="spellEnd"/>
      <w:r w:rsidRPr="006A4CD7">
        <w:rPr>
          <w:rFonts w:cs="Times New Roman"/>
          <w:i/>
          <w:iCs/>
          <w:szCs w:val="24"/>
        </w:rPr>
        <w:t xml:space="preserve"> </w:t>
      </w:r>
      <w:r w:rsidRPr="006A4CD7">
        <w:rPr>
          <w:rFonts w:cs="Times New Roman"/>
          <w:i/>
          <w:iCs/>
          <w:szCs w:val="24"/>
        </w:rPr>
        <w:lastRenderedPageBreak/>
        <w:t>v. Rutherford</w:t>
      </w:r>
      <w:r w:rsidRPr="006A4CD7">
        <w:rPr>
          <w:rFonts w:cs="Times New Roman"/>
          <w:szCs w:val="24"/>
        </w:rPr>
        <w:t xml:space="preserve">, 272 F.3d 1272, 1283 (9th Cir. 2001) (“Even when an emotionally disturbed individual is ‘acting out’ and inviting officers to use deadly force to subdue him, the governmental interest in using such force is diminished by the fact that the officers are confronted, not with a person who has committed a serious crime against others, but with a mentally ill individual.”), and (2) how quickly the officer(s) used deadly force after encountering the plaintiff or decedent.  </w:t>
      </w:r>
      <w:r w:rsidRPr="006A4CD7">
        <w:rPr>
          <w:rFonts w:cs="Times New Roman"/>
          <w:i/>
          <w:iCs/>
          <w:szCs w:val="24"/>
        </w:rPr>
        <w:t>A. K. H. v. City of Tustin</w:t>
      </w:r>
      <w:r w:rsidRPr="006A4CD7">
        <w:rPr>
          <w:rFonts w:cs="Times New Roman"/>
          <w:szCs w:val="24"/>
        </w:rPr>
        <w:t>, 837 F.3d 1005, 1012 (9th Cir. 2016).</w:t>
      </w:r>
    </w:p>
    <w:p w14:paraId="36A795F0" w14:textId="77777777" w:rsidR="00AA063D" w:rsidRPr="006A4CD7" w:rsidRDefault="00AA063D" w:rsidP="00AA063D">
      <w:pPr>
        <w:autoSpaceDE w:val="0"/>
        <w:autoSpaceDN w:val="0"/>
        <w:adjustRightInd w:val="0"/>
        <w:rPr>
          <w:rFonts w:cs="Times New Roman"/>
          <w:szCs w:val="24"/>
        </w:rPr>
      </w:pPr>
    </w:p>
    <w:p w14:paraId="562FEF67" w14:textId="77777777" w:rsidR="00AA063D" w:rsidRPr="006A4CD7" w:rsidRDefault="00AA063D" w:rsidP="00AA063D">
      <w:pPr>
        <w:autoSpaceDE w:val="0"/>
        <w:autoSpaceDN w:val="0"/>
        <w:adjustRightInd w:val="0"/>
        <w:rPr>
          <w:rFonts w:cs="Times New Roman"/>
          <w:szCs w:val="24"/>
        </w:rPr>
      </w:pPr>
      <w:r w:rsidRPr="006A4CD7">
        <w:rPr>
          <w:rFonts w:cs="Times New Roman"/>
          <w:szCs w:val="24"/>
        </w:rPr>
        <w:tab/>
        <w:t xml:space="preserve">The “relative culpability” of the parties— </w:t>
      </w:r>
      <w:r w:rsidRPr="006A4CD7">
        <w:rPr>
          <w:rFonts w:cs="Times New Roman"/>
          <w:i/>
          <w:iCs/>
          <w:szCs w:val="24"/>
        </w:rPr>
        <w:t>i.e.</w:t>
      </w:r>
      <w:r w:rsidRPr="006A4CD7">
        <w:rPr>
          <w:rFonts w:cs="Times New Roman"/>
          <w:szCs w:val="24"/>
        </w:rPr>
        <w:t xml:space="preserve">, which party created the dangerous situation and which party is more innocent— may also be considered in determining the reasonableness of the force used.  </w:t>
      </w:r>
      <w:r w:rsidRPr="006A4CD7">
        <w:rPr>
          <w:rFonts w:cs="Times New Roman"/>
          <w:i/>
          <w:iCs/>
          <w:szCs w:val="24"/>
        </w:rPr>
        <w:t>Espinosa v. City &amp; County of San Francisco</w:t>
      </w:r>
      <w:r w:rsidRPr="006A4CD7">
        <w:rPr>
          <w:rFonts w:cs="Times New Roman"/>
          <w:szCs w:val="24"/>
        </w:rPr>
        <w:t xml:space="preserve">, 598 F.3d 528, 537 (9th Cir. 2010) (citing </w:t>
      </w:r>
      <w:r w:rsidRPr="006A4CD7">
        <w:rPr>
          <w:rFonts w:cs="Times New Roman"/>
          <w:i/>
          <w:iCs/>
          <w:szCs w:val="24"/>
        </w:rPr>
        <w:t>Scott</w:t>
      </w:r>
      <w:r w:rsidRPr="006A4CD7">
        <w:rPr>
          <w:rFonts w:cs="Times New Roman"/>
          <w:szCs w:val="24"/>
        </w:rPr>
        <w:t xml:space="preserve">, 550 U.S. at 384). </w:t>
      </w:r>
    </w:p>
    <w:p w14:paraId="08002CBF" w14:textId="77777777" w:rsidR="00AA063D" w:rsidRPr="006A4CD7" w:rsidRDefault="00AA063D" w:rsidP="00AA063D">
      <w:pPr>
        <w:autoSpaceDE w:val="0"/>
        <w:autoSpaceDN w:val="0"/>
        <w:adjustRightInd w:val="0"/>
        <w:rPr>
          <w:rFonts w:cs="Times New Roman"/>
          <w:szCs w:val="24"/>
        </w:rPr>
      </w:pPr>
    </w:p>
    <w:p w14:paraId="09C14533" w14:textId="77777777" w:rsidR="00AA063D" w:rsidRPr="006A4CD7" w:rsidRDefault="00AA063D" w:rsidP="00AA063D">
      <w:pPr>
        <w:autoSpaceDE w:val="0"/>
        <w:autoSpaceDN w:val="0"/>
        <w:adjustRightInd w:val="0"/>
        <w:rPr>
          <w:rFonts w:cs="Times New Roman"/>
          <w:szCs w:val="24"/>
        </w:rPr>
      </w:pPr>
      <w:r w:rsidRPr="006A4CD7">
        <w:rPr>
          <w:rFonts w:cs="Times New Roman"/>
          <w:szCs w:val="24"/>
        </w:rPr>
        <w:tab/>
        <w:t xml:space="preserve">Whether the officers are facing or expecting a domestic disturbance is a specific factor relevant to the totality of the circumstances in assessing an excessive force claim.  </w:t>
      </w:r>
      <w:r w:rsidRPr="006A4CD7">
        <w:rPr>
          <w:rFonts w:cs="Times New Roman"/>
          <w:i/>
          <w:iCs/>
          <w:szCs w:val="24"/>
        </w:rPr>
        <w:t>George v. Morris</w:t>
      </w:r>
      <w:r w:rsidRPr="006A4CD7">
        <w:rPr>
          <w:rFonts w:cs="Times New Roman"/>
          <w:szCs w:val="24"/>
        </w:rPr>
        <w:t>, 736 F.3d 829, 839 (9th Cir. 2013) (“Domestic violence situations are ‘particularly</w:t>
      </w:r>
    </w:p>
    <w:p w14:paraId="568876A4" w14:textId="77777777" w:rsidR="00AA063D" w:rsidRPr="006A4CD7" w:rsidRDefault="00AA063D" w:rsidP="00AA063D">
      <w:pPr>
        <w:autoSpaceDE w:val="0"/>
        <w:autoSpaceDN w:val="0"/>
        <w:adjustRightInd w:val="0"/>
        <w:rPr>
          <w:rFonts w:cs="Times New Roman"/>
          <w:szCs w:val="24"/>
        </w:rPr>
      </w:pPr>
      <w:r w:rsidRPr="006A4CD7">
        <w:rPr>
          <w:rFonts w:cs="Times New Roman"/>
          <w:szCs w:val="24"/>
        </w:rPr>
        <w:t>dangerous’ because ‘more officers are killed or injured on domestic violence calls than on any</w:t>
      </w:r>
    </w:p>
    <w:p w14:paraId="4C3C457F" w14:textId="77777777" w:rsidR="00AA063D" w:rsidRPr="006A4CD7" w:rsidRDefault="00AA063D" w:rsidP="00AA063D">
      <w:pPr>
        <w:autoSpaceDE w:val="0"/>
        <w:autoSpaceDN w:val="0"/>
        <w:adjustRightInd w:val="0"/>
        <w:rPr>
          <w:rFonts w:cs="Times New Roman"/>
          <w:szCs w:val="24"/>
        </w:rPr>
      </w:pPr>
      <w:r w:rsidRPr="006A4CD7">
        <w:rPr>
          <w:rFonts w:cs="Times New Roman"/>
          <w:szCs w:val="24"/>
        </w:rPr>
        <w:t>other type of call.’”).</w:t>
      </w:r>
    </w:p>
    <w:p w14:paraId="3F4303C3" w14:textId="77777777" w:rsidR="00AA063D" w:rsidRPr="006A4CD7" w:rsidRDefault="00AA063D" w:rsidP="00AA063D">
      <w:pPr>
        <w:autoSpaceDE w:val="0"/>
        <w:autoSpaceDN w:val="0"/>
        <w:adjustRightInd w:val="0"/>
        <w:rPr>
          <w:rFonts w:cs="Times New Roman"/>
          <w:szCs w:val="24"/>
        </w:rPr>
      </w:pPr>
    </w:p>
    <w:p w14:paraId="08F41587" w14:textId="77777777" w:rsidR="00AA063D" w:rsidRPr="006A4CD7" w:rsidRDefault="00AA063D" w:rsidP="00AA063D">
      <w:pPr>
        <w:autoSpaceDE w:val="0"/>
        <w:autoSpaceDN w:val="0"/>
        <w:adjustRightInd w:val="0"/>
        <w:rPr>
          <w:rFonts w:cs="Times New Roman"/>
          <w:szCs w:val="24"/>
        </w:rPr>
      </w:pPr>
      <w:r w:rsidRPr="006A4CD7">
        <w:rPr>
          <w:rFonts w:cs="Times New Roman"/>
          <w:szCs w:val="24"/>
        </w:rPr>
        <w:tab/>
        <w:t>“When an officer’s particular use of force is based on a mistake of fact, we ask whether a</w:t>
      </w:r>
    </w:p>
    <w:p w14:paraId="16EA8CAD" w14:textId="77777777" w:rsidR="00AA063D" w:rsidRPr="006A4CD7" w:rsidRDefault="00AA063D" w:rsidP="00AA063D">
      <w:pPr>
        <w:autoSpaceDE w:val="0"/>
        <w:autoSpaceDN w:val="0"/>
        <w:adjustRightInd w:val="0"/>
        <w:rPr>
          <w:rFonts w:cs="Times New Roman"/>
          <w:i/>
          <w:iCs/>
          <w:szCs w:val="24"/>
        </w:rPr>
      </w:pPr>
      <w:r w:rsidRPr="006A4CD7">
        <w:rPr>
          <w:rFonts w:cs="Times New Roman"/>
          <w:szCs w:val="24"/>
        </w:rPr>
        <w:t>reasonable officer would have or should have accurately perceived that fact.”</w:t>
      </w:r>
      <w:r w:rsidRPr="006A4CD7">
        <w:rPr>
          <w:rFonts w:cs="Times New Roman"/>
          <w:i/>
          <w:iCs/>
          <w:szCs w:val="24"/>
        </w:rPr>
        <w:t xml:space="preserve">  Torres v. City of</w:t>
      </w:r>
    </w:p>
    <w:p w14:paraId="3F2377E7" w14:textId="77777777" w:rsidR="00AA063D" w:rsidRPr="006A4CD7" w:rsidRDefault="00AA063D" w:rsidP="00AA063D">
      <w:pPr>
        <w:autoSpaceDE w:val="0"/>
        <w:autoSpaceDN w:val="0"/>
        <w:adjustRightInd w:val="0"/>
        <w:rPr>
          <w:rFonts w:cs="Times New Roman"/>
          <w:szCs w:val="24"/>
        </w:rPr>
      </w:pPr>
      <w:r w:rsidRPr="006A4CD7">
        <w:rPr>
          <w:rFonts w:cs="Times New Roman"/>
          <w:i/>
          <w:iCs/>
          <w:szCs w:val="24"/>
        </w:rPr>
        <w:t>Madera</w:t>
      </w:r>
      <w:r w:rsidRPr="006A4CD7">
        <w:rPr>
          <w:rFonts w:cs="Times New Roman"/>
          <w:szCs w:val="24"/>
        </w:rPr>
        <w:t xml:space="preserve">, 648 F.3d 1119, 1124 (9th Cir. 2011) (citing </w:t>
      </w:r>
      <w:r w:rsidRPr="006A4CD7">
        <w:rPr>
          <w:rFonts w:cs="Times New Roman"/>
          <w:i/>
          <w:iCs/>
          <w:szCs w:val="24"/>
        </w:rPr>
        <w:t>Jensen v. City of Oxnard</w:t>
      </w:r>
      <w:r w:rsidRPr="006A4CD7">
        <w:rPr>
          <w:rFonts w:cs="Times New Roman"/>
          <w:szCs w:val="24"/>
        </w:rPr>
        <w:t>, 145 F.3d 1078,</w:t>
      </w:r>
    </w:p>
    <w:p w14:paraId="4EBBB574" w14:textId="77777777" w:rsidR="00AA063D" w:rsidRPr="006A4CD7" w:rsidRDefault="00AA063D" w:rsidP="00AA063D">
      <w:pPr>
        <w:autoSpaceDE w:val="0"/>
        <w:autoSpaceDN w:val="0"/>
        <w:adjustRightInd w:val="0"/>
        <w:rPr>
          <w:rFonts w:cs="Times New Roman"/>
          <w:szCs w:val="24"/>
        </w:rPr>
      </w:pPr>
      <w:r w:rsidRPr="006A4CD7">
        <w:rPr>
          <w:rFonts w:cs="Times New Roman"/>
          <w:szCs w:val="24"/>
        </w:rPr>
        <w:t>1086 (9th Cir. 1998)) (emphasis in original).  “[W]</w:t>
      </w:r>
      <w:proofErr w:type="spellStart"/>
      <w:r w:rsidRPr="006A4CD7">
        <w:rPr>
          <w:rFonts w:cs="Times New Roman"/>
          <w:szCs w:val="24"/>
        </w:rPr>
        <w:t>hether</w:t>
      </w:r>
      <w:proofErr w:type="spellEnd"/>
      <w:r w:rsidRPr="006A4CD7">
        <w:rPr>
          <w:rFonts w:cs="Times New Roman"/>
          <w:szCs w:val="24"/>
        </w:rPr>
        <w:t xml:space="preserve"> the mistake was an honest one is not</w:t>
      </w:r>
    </w:p>
    <w:p w14:paraId="122D097F" w14:textId="77777777" w:rsidR="00AA063D" w:rsidRPr="006A4CD7" w:rsidRDefault="00AA063D" w:rsidP="00AA063D">
      <w:pPr>
        <w:autoSpaceDE w:val="0"/>
        <w:autoSpaceDN w:val="0"/>
        <w:adjustRightInd w:val="0"/>
        <w:rPr>
          <w:rFonts w:cs="Times New Roman"/>
          <w:szCs w:val="24"/>
        </w:rPr>
      </w:pPr>
      <w:r w:rsidRPr="006A4CD7">
        <w:rPr>
          <w:rFonts w:cs="Times New Roman"/>
          <w:szCs w:val="24"/>
        </w:rPr>
        <w:t xml:space="preserve">the concern, only whether it was a reasonable one.”  </w:t>
      </w:r>
      <w:r w:rsidRPr="006A4CD7">
        <w:rPr>
          <w:rFonts w:cs="Times New Roman"/>
          <w:i/>
          <w:iCs/>
          <w:szCs w:val="24"/>
        </w:rPr>
        <w:t>Id</w:t>
      </w:r>
      <w:r w:rsidRPr="006A4CD7">
        <w:rPr>
          <w:rFonts w:cs="Times New Roman"/>
          <w:szCs w:val="24"/>
        </w:rPr>
        <w:t>. at 1127 (emphasis in original).</w:t>
      </w:r>
    </w:p>
    <w:p w14:paraId="64D20542" w14:textId="77777777" w:rsidR="00AA063D" w:rsidRPr="006A4CD7" w:rsidRDefault="00AA063D" w:rsidP="00AA063D">
      <w:pPr>
        <w:autoSpaceDE w:val="0"/>
        <w:autoSpaceDN w:val="0"/>
        <w:adjustRightInd w:val="0"/>
        <w:rPr>
          <w:rFonts w:cs="Times New Roman"/>
          <w:szCs w:val="24"/>
        </w:rPr>
      </w:pPr>
    </w:p>
    <w:p w14:paraId="7760AD28" w14:textId="4F148D5E" w:rsidR="00AA063D" w:rsidRPr="00D31389" w:rsidRDefault="00AA063D" w:rsidP="00AA063D">
      <w:pPr>
        <w:pStyle w:val="BodyText"/>
        <w:spacing w:line="247" w:lineRule="auto"/>
        <w:ind w:left="100" w:right="136" w:firstLine="720"/>
      </w:pPr>
      <w:r w:rsidRPr="006A4CD7">
        <w:t xml:space="preserve">A police officer’s attempt to “terminate a dangerous high-speed chase that threatens the lives of innocent bystanders does not violate the Fourth Amendment, even when it places the fleeing motorist at risk of serious injury or death.”  </w:t>
      </w:r>
      <w:proofErr w:type="spellStart"/>
      <w:r w:rsidRPr="006A4CD7">
        <w:rPr>
          <w:i/>
          <w:iCs/>
        </w:rPr>
        <w:t>Plumhoff</w:t>
      </w:r>
      <w:proofErr w:type="spellEnd"/>
      <w:r w:rsidRPr="006A4CD7">
        <w:rPr>
          <w:i/>
          <w:iCs/>
        </w:rPr>
        <w:t xml:space="preserve"> v. Rickard</w:t>
      </w:r>
      <w:r w:rsidRPr="006A4CD7">
        <w:t>, 134 S. Ct. 2012, 2021-22 (2014) (“[I]f officers are justified in firing at a suspect in order to end a severe threat to public safety, the officers need not stop shooting until the threat has ended.”).</w:t>
      </w:r>
      <w:r w:rsidRPr="00AA063D">
        <w:rPr>
          <w:color w:val="FF0000"/>
        </w:rPr>
        <w:t xml:space="preserve"> </w:t>
      </w:r>
      <w:r w:rsidRPr="009A0D31">
        <w:t xml:space="preserve">But the use of deadly force to stop a slow-moving vehicle when the officers could easily have stepped aside violates the Fourth Amendment.  </w:t>
      </w:r>
      <w:r w:rsidRPr="009A0D31">
        <w:rPr>
          <w:i/>
          <w:iCs/>
        </w:rPr>
        <w:t>Villanueva v. Californi</w:t>
      </w:r>
      <w:r w:rsidRPr="0058166F">
        <w:rPr>
          <w:i/>
          <w:iCs/>
        </w:rPr>
        <w:t>a</w:t>
      </w:r>
      <w:r w:rsidRPr="0058166F">
        <w:t>,</w:t>
      </w:r>
      <w:r w:rsidR="0058166F" w:rsidRPr="0058166F">
        <w:t xml:space="preserve"> 986 F.3d 1158, 1170 (9th Cir. 2021) </w:t>
      </w:r>
      <w:r w:rsidRPr="0058166F">
        <w:t xml:space="preserve">(citing </w:t>
      </w:r>
      <w:r w:rsidRPr="0058166F">
        <w:rPr>
          <w:i/>
          <w:iCs/>
        </w:rPr>
        <w:t xml:space="preserve">Acosta v. City &amp; </w:t>
      </w:r>
      <w:proofErr w:type="spellStart"/>
      <w:r w:rsidRPr="0058166F">
        <w:rPr>
          <w:i/>
          <w:iCs/>
        </w:rPr>
        <w:t>Cnty</w:t>
      </w:r>
      <w:proofErr w:type="spellEnd"/>
      <w:r w:rsidRPr="0058166F">
        <w:rPr>
          <w:i/>
          <w:iCs/>
        </w:rPr>
        <w:t>. of S.F.</w:t>
      </w:r>
      <w:r w:rsidRPr="0058166F">
        <w:t>, 83 F.3d 1143, 1</w:t>
      </w:r>
      <w:r w:rsidRPr="009A0D31">
        <w:t xml:space="preserve">146 (9th Cir. 1996), </w:t>
      </w:r>
      <w:r w:rsidRPr="009A0D31">
        <w:rPr>
          <w:i/>
          <w:iCs/>
        </w:rPr>
        <w:t xml:space="preserve">as amended </w:t>
      </w:r>
      <w:r w:rsidRPr="009A0D31">
        <w:t xml:space="preserve">(June 18, 1996), </w:t>
      </w:r>
      <w:r w:rsidRPr="009A0D31">
        <w:rPr>
          <w:i/>
          <w:iCs/>
        </w:rPr>
        <w:t>abrogated on other grounds by Saucier v. Katz</w:t>
      </w:r>
      <w:r w:rsidRPr="009A0D31">
        <w:t>, 533 U.S. 194 (2001)).</w:t>
      </w:r>
    </w:p>
    <w:p w14:paraId="445B965D" w14:textId="77777777" w:rsidR="00AA063D" w:rsidRPr="006A4CD7" w:rsidRDefault="00AA063D" w:rsidP="00AA063D">
      <w:pPr>
        <w:autoSpaceDE w:val="0"/>
        <w:autoSpaceDN w:val="0"/>
        <w:adjustRightInd w:val="0"/>
        <w:rPr>
          <w:rFonts w:cs="Times New Roman"/>
          <w:szCs w:val="24"/>
        </w:rPr>
      </w:pPr>
    </w:p>
    <w:p w14:paraId="08A4533E" w14:textId="77777777" w:rsidR="00AA063D" w:rsidRPr="006A4CD7" w:rsidRDefault="00AA063D" w:rsidP="00AA063D">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County of Los Angeles v. Mendez</w:t>
      </w:r>
      <w:r w:rsidRPr="006A4CD7">
        <w:rPr>
          <w:rFonts w:cs="Times New Roman"/>
          <w:szCs w:val="24"/>
        </w:rPr>
        <w:t xml:space="preserve">, 137 S. Ct. 1539 (2017), the Supreme Court rejected the Ninth Circuit’s “provocation rule” and abrogated </w:t>
      </w:r>
      <w:proofErr w:type="spellStart"/>
      <w:r w:rsidRPr="006A4CD7">
        <w:rPr>
          <w:rFonts w:cs="Times New Roman"/>
          <w:i/>
          <w:iCs/>
          <w:szCs w:val="24"/>
        </w:rPr>
        <w:t>Billington</w:t>
      </w:r>
      <w:proofErr w:type="spellEnd"/>
      <w:r w:rsidRPr="006A4CD7">
        <w:rPr>
          <w:rFonts w:cs="Times New Roman"/>
          <w:i/>
          <w:iCs/>
          <w:szCs w:val="24"/>
        </w:rPr>
        <w:t xml:space="preserve"> v. Smith</w:t>
      </w:r>
      <w:r w:rsidRPr="006A4CD7">
        <w:rPr>
          <w:rFonts w:cs="Times New Roman"/>
          <w:szCs w:val="24"/>
        </w:rPr>
        <w:t xml:space="preserve">, 292 F.3d 1177, 1189 (9th Cir. 2002).  That rule had permitted a law enforcement officer to be held responsible for an otherwise reasonable use of force when the officer intentionally or recklessly provoked a violent confrontation through a warrantless entry that was itself an independent Fourth Amendment violation.  In </w:t>
      </w:r>
      <w:r w:rsidRPr="006A4CD7">
        <w:rPr>
          <w:rFonts w:cs="Times New Roman"/>
          <w:i/>
          <w:iCs/>
          <w:szCs w:val="24"/>
        </w:rPr>
        <w:t>Mendez</w:t>
      </w:r>
      <w:r w:rsidRPr="006A4CD7">
        <w:rPr>
          <w:rFonts w:cs="Times New Roman"/>
          <w:szCs w:val="24"/>
        </w:rPr>
        <w:t>, the Supreme Court eliminated this rule.</w:t>
      </w:r>
    </w:p>
    <w:p w14:paraId="231A22C1" w14:textId="77777777" w:rsidR="00AA063D" w:rsidRPr="006A4CD7" w:rsidRDefault="00AA063D" w:rsidP="00AA063D">
      <w:pPr>
        <w:autoSpaceDE w:val="0"/>
        <w:autoSpaceDN w:val="0"/>
        <w:adjustRightInd w:val="0"/>
        <w:rPr>
          <w:rFonts w:cs="Times New Roman"/>
          <w:szCs w:val="24"/>
        </w:rPr>
      </w:pPr>
    </w:p>
    <w:p w14:paraId="3CB4068D" w14:textId="77777777" w:rsidR="00AA063D" w:rsidRPr="006A4CD7" w:rsidRDefault="00AA063D" w:rsidP="00AA063D">
      <w:pPr>
        <w:autoSpaceDE w:val="0"/>
        <w:autoSpaceDN w:val="0"/>
        <w:adjustRightInd w:val="0"/>
        <w:rPr>
          <w:rFonts w:cs="Times New Roman"/>
          <w:szCs w:val="24"/>
        </w:rPr>
      </w:pPr>
    </w:p>
    <w:p w14:paraId="616C3127" w14:textId="1034B2F5" w:rsidR="00AA063D" w:rsidRPr="009A0D31" w:rsidRDefault="00AA063D" w:rsidP="00AA063D">
      <w:pPr>
        <w:autoSpaceDE w:val="0"/>
        <w:autoSpaceDN w:val="0"/>
        <w:adjustRightInd w:val="0"/>
        <w:jc w:val="right"/>
        <w:rPr>
          <w:rFonts w:cs="Times New Roman"/>
          <w:szCs w:val="24"/>
        </w:rPr>
      </w:pPr>
      <w:r w:rsidRPr="006A4CD7">
        <w:rPr>
          <w:rFonts w:cs="Times New Roman"/>
          <w:i/>
          <w:iCs/>
          <w:szCs w:val="24"/>
        </w:rPr>
        <w:t xml:space="preserve">Revised </w:t>
      </w:r>
      <w:r w:rsidRPr="009A0D31">
        <w:rPr>
          <w:rFonts w:cs="Times New Roman"/>
          <w:i/>
          <w:iCs/>
          <w:szCs w:val="24"/>
        </w:rPr>
        <w:t>Mar. 2021</w:t>
      </w:r>
    </w:p>
    <w:p w14:paraId="2F5F5977" w14:textId="1E91821A" w:rsidR="00C35252" w:rsidRPr="00AA063D" w:rsidRDefault="00C35252" w:rsidP="00AA063D"/>
    <w:sectPr w:rsidR="00C35252" w:rsidRPr="00AA0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3D"/>
    <w:rsid w:val="000A00D9"/>
    <w:rsid w:val="001651F1"/>
    <w:rsid w:val="0058166F"/>
    <w:rsid w:val="00750493"/>
    <w:rsid w:val="009A0D31"/>
    <w:rsid w:val="00AA063D"/>
    <w:rsid w:val="00C3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A537"/>
  <w15:chartTrackingRefBased/>
  <w15:docId w15:val="{0F20B8C3-664B-419D-BF42-A6013E8D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63D"/>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AA063D"/>
    <w:pPr>
      <w:autoSpaceDE w:val="0"/>
      <w:autoSpaceDN w:val="0"/>
      <w:adjustRightInd w:val="0"/>
      <w:jc w:val="center"/>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63D"/>
    <w:rPr>
      <w:rFonts w:ascii="Times New Roman" w:hAnsi="Times New Roman" w:cs="Times New Roman"/>
      <w:b/>
      <w:bCs/>
      <w:sz w:val="24"/>
      <w:szCs w:val="24"/>
    </w:rPr>
  </w:style>
  <w:style w:type="paragraph" w:styleId="BodyText">
    <w:name w:val="Body Text"/>
    <w:basedOn w:val="Normal"/>
    <w:link w:val="BodyTextChar"/>
    <w:uiPriority w:val="1"/>
    <w:qFormat/>
    <w:rsid w:val="00AA063D"/>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AA06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1646</Words>
  <Characters>9385</Characters>
  <Application>Microsoft Office Word</Application>
  <DocSecurity>0</DocSecurity>
  <Lines>78</Lines>
  <Paragraphs>22</Paragraphs>
  <ScaleCrop>false</ScaleCrop>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4</cp:revision>
  <dcterms:created xsi:type="dcterms:W3CDTF">2021-03-06T02:29:00Z</dcterms:created>
  <dcterms:modified xsi:type="dcterms:W3CDTF">2021-03-18T20:33:00Z</dcterms:modified>
</cp:coreProperties>
</file>