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CDF6" w14:textId="5CD712F4" w:rsidR="00AD0E12" w:rsidRPr="004913BA" w:rsidRDefault="00AD0E12" w:rsidP="00AD0E12">
      <w:pPr>
        <w:pStyle w:val="Heading1"/>
      </w:pPr>
      <w:bookmarkStart w:id="0" w:name="_Toc167357269"/>
      <w:bookmarkStart w:id="1" w:name="_Toc184822664"/>
      <w:r w:rsidRPr="004913BA">
        <w:t>9.2</w:t>
      </w:r>
      <w:r w:rsidR="00AB01E1">
        <w:t>5</w:t>
      </w:r>
      <w:r w:rsidRPr="004913BA">
        <w:t xml:space="preserve"> Particular Rights—Fourth Amendment—Unreasonable Seizure of Person—Probable Cause Arrest</w:t>
      </w:r>
      <w:bookmarkEnd w:id="0"/>
      <w:bookmarkEnd w:id="1"/>
    </w:p>
    <w:p w14:paraId="42EE1575" w14:textId="77777777" w:rsidR="00AD0E12" w:rsidRPr="004913BA" w:rsidRDefault="00AD0E12" w:rsidP="00AD0E12"/>
    <w:p w14:paraId="57932E04"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b/>
          <w:bCs/>
          <w:szCs w:val="24"/>
        </w:rPr>
        <w:tab/>
      </w:r>
      <w:r w:rsidRPr="00AB01E1">
        <w:rPr>
          <w:rFonts w:eastAsia="Calibri" w:cs="Times New Roman"/>
          <w:szCs w:val="24"/>
        </w:rPr>
        <w:t>In general, a seizure of a person by arrest without a warrant is reasonable if the arresting officer[s] had probable cause to believe the plaintiff has committed or was committing a crime.</w:t>
      </w:r>
    </w:p>
    <w:p w14:paraId="44592B51" w14:textId="77777777" w:rsidR="00AB01E1" w:rsidRPr="00AB01E1" w:rsidRDefault="00AB01E1" w:rsidP="00AB01E1">
      <w:pPr>
        <w:autoSpaceDE w:val="0"/>
        <w:autoSpaceDN w:val="0"/>
        <w:adjustRightInd w:val="0"/>
        <w:rPr>
          <w:rFonts w:eastAsia="Calibri" w:cs="Times New Roman"/>
          <w:szCs w:val="24"/>
        </w:rPr>
      </w:pPr>
    </w:p>
    <w:p w14:paraId="2BDF906D"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b/>
          <w:szCs w:val="24"/>
        </w:rPr>
        <w:tab/>
      </w:r>
      <w:r w:rsidRPr="00AB01E1">
        <w:rPr>
          <w:rFonts w:eastAsia="Calibri" w:cs="Times New Roman"/>
          <w:szCs w:val="24"/>
        </w:rPr>
        <w:t>To prove the seizure in this case was unreasonable, the plaintiff must prove by a preponderance of the evidence that [he] [she] [</w:t>
      </w:r>
      <w:r w:rsidRPr="00AB01E1">
        <w:rPr>
          <w:rFonts w:eastAsia="Calibri" w:cs="Times New Roman"/>
          <w:i/>
          <w:iCs/>
          <w:szCs w:val="24"/>
          <w:u w:val="single"/>
        </w:rPr>
        <w:t>other pronoun</w:t>
      </w:r>
      <w:r w:rsidRPr="00AB01E1">
        <w:rPr>
          <w:rFonts w:eastAsia="Calibri" w:cs="Times New Roman"/>
          <w:szCs w:val="24"/>
        </w:rPr>
        <w:t>] was arrested without probable cause.</w:t>
      </w:r>
    </w:p>
    <w:p w14:paraId="3AB482CF" w14:textId="77777777" w:rsidR="00AB01E1" w:rsidRPr="00AB01E1" w:rsidRDefault="00AB01E1" w:rsidP="00AB01E1">
      <w:pPr>
        <w:autoSpaceDE w:val="0"/>
        <w:autoSpaceDN w:val="0"/>
        <w:adjustRightInd w:val="0"/>
        <w:rPr>
          <w:rFonts w:eastAsia="Calibri" w:cs="Times New Roman"/>
          <w:szCs w:val="24"/>
        </w:rPr>
      </w:pPr>
    </w:p>
    <w:p w14:paraId="3A0B178A"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 xml:space="preserve">“Probable cause” exists when, under </w:t>
      </w:r>
      <w:proofErr w:type="gramStart"/>
      <w:r w:rsidRPr="00AB01E1">
        <w:rPr>
          <w:rFonts w:eastAsia="Calibri" w:cs="Times New Roman"/>
          <w:szCs w:val="24"/>
        </w:rPr>
        <w:t>all of</w:t>
      </w:r>
      <w:proofErr w:type="gramEnd"/>
      <w:r w:rsidRPr="00AB01E1">
        <w:rPr>
          <w:rFonts w:eastAsia="Calibri" w:cs="Times New Roman"/>
          <w:szCs w:val="24"/>
        </w:rPr>
        <w:t xml:space="preserve"> the circumstances known to the officer[s] at the time, an objectively reasonable police officer would conclude there is a fair probability that the plaintiff has committed or was committing a crime. </w:t>
      </w:r>
    </w:p>
    <w:p w14:paraId="5692E8E4" w14:textId="77777777" w:rsidR="00AB01E1" w:rsidRPr="00AB01E1" w:rsidRDefault="00AB01E1" w:rsidP="00AB01E1">
      <w:pPr>
        <w:autoSpaceDE w:val="0"/>
        <w:autoSpaceDN w:val="0"/>
        <w:adjustRightInd w:val="0"/>
        <w:rPr>
          <w:rFonts w:eastAsia="Calibri" w:cs="Times New Roman"/>
          <w:szCs w:val="24"/>
        </w:rPr>
      </w:pPr>
    </w:p>
    <w:p w14:paraId="5CFD51E9"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Although the facts known to the officer are relevant to your inquiry, the officer’s intent or motive is not relevant to your inquiry.</w:t>
      </w:r>
    </w:p>
    <w:p w14:paraId="7D3C44BD" w14:textId="77777777" w:rsidR="00AB01E1" w:rsidRPr="00AB01E1" w:rsidRDefault="00AB01E1" w:rsidP="00AB01E1">
      <w:pPr>
        <w:autoSpaceDE w:val="0"/>
        <w:autoSpaceDN w:val="0"/>
        <w:adjustRightInd w:val="0"/>
        <w:rPr>
          <w:rFonts w:eastAsia="Calibri" w:cs="Times New Roman"/>
          <w:szCs w:val="24"/>
        </w:rPr>
      </w:pPr>
    </w:p>
    <w:p w14:paraId="0C25F27C" w14:textId="77777777" w:rsidR="00AB01E1" w:rsidRPr="00AB01E1" w:rsidRDefault="00AB01E1" w:rsidP="00AB01E1">
      <w:pPr>
        <w:autoSpaceDE w:val="0"/>
        <w:autoSpaceDN w:val="0"/>
        <w:adjustRightInd w:val="0"/>
        <w:rPr>
          <w:rFonts w:eastAsia="Calibri" w:cs="Times New Roman"/>
          <w:b/>
          <w:szCs w:val="24"/>
        </w:rPr>
      </w:pPr>
      <w:r w:rsidRPr="00AB01E1">
        <w:rPr>
          <w:rFonts w:eastAsia="Calibri" w:cs="Times New Roman"/>
          <w:szCs w:val="24"/>
        </w:rPr>
        <w:tab/>
        <w:t>Under [federal] [state] law, it is a crime to [</w:t>
      </w:r>
      <w:r w:rsidRPr="00AB01E1">
        <w:rPr>
          <w:rFonts w:eastAsia="Calibri" w:cs="Times New Roman"/>
          <w:i/>
          <w:szCs w:val="24"/>
          <w:u w:val="single"/>
        </w:rPr>
        <w:t>insert elements or description of applicable crime for which probable cause must have existed</w:t>
      </w:r>
      <w:r w:rsidRPr="00AB01E1">
        <w:rPr>
          <w:rFonts w:eastAsia="Calibri" w:cs="Times New Roman"/>
          <w:szCs w:val="24"/>
        </w:rPr>
        <w:t>].</w:t>
      </w:r>
    </w:p>
    <w:p w14:paraId="26D44136" w14:textId="77777777" w:rsidR="00AB01E1" w:rsidRPr="00AB01E1" w:rsidRDefault="00AB01E1" w:rsidP="00AB01E1">
      <w:pPr>
        <w:rPr>
          <w:rFonts w:eastAsia="Calibri" w:cs="Times New Roman"/>
          <w:szCs w:val="24"/>
        </w:rPr>
      </w:pPr>
    </w:p>
    <w:p w14:paraId="37D67701" w14:textId="77777777" w:rsidR="00AB01E1" w:rsidRPr="00AB01E1" w:rsidRDefault="00AB01E1" w:rsidP="00AB01E1">
      <w:pPr>
        <w:autoSpaceDE w:val="0"/>
        <w:autoSpaceDN w:val="0"/>
        <w:adjustRightInd w:val="0"/>
        <w:jc w:val="center"/>
        <w:rPr>
          <w:rFonts w:eastAsia="Calibri" w:cs="Times New Roman"/>
          <w:szCs w:val="24"/>
        </w:rPr>
      </w:pPr>
      <w:r w:rsidRPr="00AB01E1">
        <w:rPr>
          <w:rFonts w:eastAsia="Calibri" w:cs="Times New Roman"/>
          <w:b/>
          <w:szCs w:val="24"/>
        </w:rPr>
        <w:t>Comment</w:t>
      </w:r>
    </w:p>
    <w:p w14:paraId="39A038A8" w14:textId="77777777" w:rsidR="00AB01E1" w:rsidRPr="00AB01E1" w:rsidRDefault="00AB01E1" w:rsidP="00AB01E1">
      <w:pPr>
        <w:autoSpaceDE w:val="0"/>
        <w:autoSpaceDN w:val="0"/>
        <w:adjustRightInd w:val="0"/>
        <w:jc w:val="center"/>
        <w:rPr>
          <w:rFonts w:eastAsia="Calibri" w:cs="Times New Roman"/>
          <w:szCs w:val="24"/>
        </w:rPr>
      </w:pPr>
    </w:p>
    <w:p w14:paraId="52AA4FF5"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 xml:space="preserve">Use this instruction only in conjunction with the applicable </w:t>
      </w:r>
      <w:proofErr w:type="gramStart"/>
      <w:r w:rsidRPr="00AB01E1">
        <w:rPr>
          <w:rFonts w:eastAsia="Calibri" w:cs="Times New Roman"/>
          <w:szCs w:val="24"/>
        </w:rPr>
        <w:t>elements</w:t>
      </w:r>
      <w:proofErr w:type="gramEnd"/>
      <w:r w:rsidRPr="00AB01E1">
        <w:rPr>
          <w:rFonts w:eastAsia="Calibri" w:cs="Times New Roman"/>
          <w:szCs w:val="24"/>
        </w:rPr>
        <w:t xml:space="preserve"> instructions, Instructions 9.3-9.8, and in conjunction with Instruction 9.22 (Particular Rights—Fourth Amendment—Unreasonable Seizure of Person—Generally).</w:t>
      </w:r>
    </w:p>
    <w:p w14:paraId="6ACA5C6B" w14:textId="77777777" w:rsidR="00AB01E1" w:rsidRPr="00AB01E1" w:rsidRDefault="00AB01E1" w:rsidP="00AB01E1">
      <w:pPr>
        <w:autoSpaceDE w:val="0"/>
        <w:autoSpaceDN w:val="0"/>
        <w:adjustRightInd w:val="0"/>
        <w:rPr>
          <w:rFonts w:eastAsia="Calibri" w:cs="Times New Roman"/>
          <w:szCs w:val="24"/>
        </w:rPr>
      </w:pPr>
    </w:p>
    <w:p w14:paraId="70485CB8" w14:textId="77777777" w:rsidR="00AB01E1" w:rsidRPr="00AB01E1" w:rsidRDefault="00AB01E1" w:rsidP="00AB01E1">
      <w:pPr>
        <w:shd w:val="clear" w:color="auto" w:fill="FFFFFF"/>
        <w:ind w:firstLine="720"/>
        <w:rPr>
          <w:rFonts w:eastAsia="Times New Roman" w:cs="Times New Roman"/>
          <w:szCs w:val="24"/>
        </w:rPr>
      </w:pPr>
      <w:r w:rsidRPr="00AB01E1">
        <w:rPr>
          <w:rFonts w:eastAsia="Calibri" w:cs="Times New Roman"/>
          <w:szCs w:val="24"/>
        </w:rPr>
        <w:t xml:space="preserve">In a multi-plaintiff or multi-defendant case, the trial judge should consider naming </w:t>
      </w:r>
      <w:proofErr w:type="gramStart"/>
      <w:r w:rsidRPr="00AB01E1">
        <w:rPr>
          <w:rFonts w:eastAsia="Calibri" w:cs="Times New Roman"/>
          <w:szCs w:val="24"/>
        </w:rPr>
        <w:t>each individual</w:t>
      </w:r>
      <w:proofErr w:type="gramEnd"/>
      <w:r w:rsidRPr="00AB01E1">
        <w:rPr>
          <w:rFonts w:eastAsia="Calibri" w:cs="Times New Roman"/>
          <w:szCs w:val="24"/>
        </w:rPr>
        <w:t xml:space="preserve"> specifically in lieu of using the generic term “officers” or “defendants.” In </w:t>
      </w:r>
      <w:proofErr w:type="spellStart"/>
      <w:r w:rsidRPr="00AB01E1">
        <w:rPr>
          <w:rFonts w:eastAsia="Calibri" w:cs="Times New Roman"/>
          <w:i/>
          <w:iCs/>
          <w:szCs w:val="24"/>
        </w:rPr>
        <w:t>Chinaryan</w:t>
      </w:r>
      <w:proofErr w:type="spellEnd"/>
      <w:r w:rsidRPr="00AB01E1">
        <w:rPr>
          <w:rFonts w:eastAsia="Calibri" w:cs="Times New Roman"/>
          <w:szCs w:val="24"/>
        </w:rPr>
        <w:t xml:space="preserve">, the Ninth Circuit explained that the jury instructions were “confusing” where </w:t>
      </w:r>
      <w:r w:rsidRPr="00AB01E1">
        <w:rPr>
          <w:rFonts w:eastAsia="Times New Roman" w:cs="Times New Roman"/>
          <w:szCs w:val="24"/>
        </w:rPr>
        <w:t>the instructions stated that “to establish an unreasonable seizure in this case, the plaintiffs must prove by a preponderance of the evidence that the officer</w:t>
      </w:r>
      <w:r w:rsidRPr="00AB01E1">
        <w:rPr>
          <w:rFonts w:eastAsia="Times New Roman" w:cs="Times New Roman"/>
          <w:b/>
          <w:bCs/>
          <w:i/>
          <w:iCs/>
          <w:szCs w:val="24"/>
          <w:u w:val="single"/>
          <w:bdr w:val="none" w:sz="0" w:space="0" w:color="auto" w:frame="1"/>
        </w:rPr>
        <w:t>s</w:t>
      </w:r>
      <w:r w:rsidRPr="00AB01E1">
        <w:rPr>
          <w:rFonts w:eastAsia="Times New Roman" w:cs="Times New Roman"/>
          <w:szCs w:val="24"/>
        </w:rPr>
        <w:t>”—plural</w:t>
      </w:r>
      <w:proofErr w:type="gramStart"/>
      <w:r w:rsidRPr="00AB01E1">
        <w:rPr>
          <w:rFonts w:eastAsia="Times New Roman" w:cs="Times New Roman"/>
          <w:szCs w:val="24"/>
        </w:rPr>
        <w:t>—“</w:t>
      </w:r>
      <w:proofErr w:type="gramEnd"/>
      <w:r w:rsidRPr="00AB01E1">
        <w:rPr>
          <w:rFonts w:eastAsia="Times New Roman" w:cs="Times New Roman"/>
          <w:szCs w:val="24"/>
        </w:rPr>
        <w:t xml:space="preserve">used excessive force.” </w:t>
      </w:r>
      <w:proofErr w:type="spellStart"/>
      <w:r w:rsidRPr="00AB01E1">
        <w:rPr>
          <w:rFonts w:eastAsia="Times New Roman" w:cs="Times New Roman"/>
          <w:i/>
          <w:iCs/>
          <w:szCs w:val="24"/>
          <w:bdr w:val="none" w:sz="0" w:space="0" w:color="auto" w:frame="1"/>
        </w:rPr>
        <w:t>Chinaryan</w:t>
      </w:r>
      <w:proofErr w:type="spellEnd"/>
      <w:r w:rsidRPr="00AB01E1">
        <w:rPr>
          <w:rFonts w:eastAsia="Times New Roman" w:cs="Times New Roman"/>
          <w:i/>
          <w:iCs/>
          <w:szCs w:val="24"/>
          <w:bdr w:val="none" w:sz="0" w:space="0" w:color="auto" w:frame="1"/>
        </w:rPr>
        <w:t xml:space="preserve"> v. City of Los Angeles</w:t>
      </w:r>
      <w:r w:rsidRPr="00AB01E1">
        <w:rPr>
          <w:rFonts w:eastAsia="Times New Roman" w:cs="Times New Roman"/>
          <w:szCs w:val="24"/>
        </w:rPr>
        <w:t>, 113 F.4th 888, 905 (9th Cir. 2024) (emphasis in original). The “officer</w:t>
      </w:r>
      <w:r w:rsidRPr="00AB01E1">
        <w:rPr>
          <w:rFonts w:eastAsia="Times New Roman" w:cs="Times New Roman"/>
          <w:b/>
          <w:bCs/>
          <w:i/>
          <w:iCs/>
          <w:szCs w:val="24"/>
          <w:u w:val="single"/>
        </w:rPr>
        <w:t>s</w:t>
      </w:r>
      <w:r w:rsidRPr="00AB01E1">
        <w:rPr>
          <w:rFonts w:eastAsia="Times New Roman" w:cs="Times New Roman"/>
          <w:szCs w:val="24"/>
        </w:rPr>
        <w:t>”</w:t>
      </w:r>
      <w:r w:rsidRPr="00AB01E1">
        <w:rPr>
          <w:rFonts w:eastAsia="Times New Roman" w:cs="Times New Roman"/>
          <w:b/>
          <w:bCs/>
          <w:szCs w:val="24"/>
        </w:rPr>
        <w:t xml:space="preserve"> </w:t>
      </w:r>
      <w:r w:rsidRPr="00AB01E1">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AB01E1">
        <w:rPr>
          <w:rFonts w:eastAsia="Times New Roman" w:cs="Times New Roman"/>
          <w:i/>
          <w:iCs/>
          <w:szCs w:val="24"/>
        </w:rPr>
        <w:t>Id.</w:t>
      </w:r>
      <w:r w:rsidRPr="00AB01E1">
        <w:rPr>
          <w:rFonts w:eastAsia="Times New Roman" w:cs="Times New Roman"/>
          <w:szCs w:val="24"/>
        </w:rPr>
        <w:t xml:space="preserve"> </w:t>
      </w:r>
      <w:proofErr w:type="gramStart"/>
      <w:r w:rsidRPr="00AB01E1">
        <w:rPr>
          <w:rFonts w:eastAsia="Times New Roman" w:cs="Times New Roman"/>
          <w:szCs w:val="24"/>
        </w:rPr>
        <w:t>In light of</w:t>
      </w:r>
      <w:proofErr w:type="gramEnd"/>
      <w:r w:rsidRPr="00AB01E1">
        <w:rPr>
          <w:rFonts w:eastAsia="Times New Roman" w:cs="Times New Roman"/>
          <w:szCs w:val="24"/>
        </w:rPr>
        <w:t xml:space="preserve"> </w:t>
      </w:r>
      <w:proofErr w:type="spellStart"/>
      <w:r w:rsidRPr="00AB01E1">
        <w:rPr>
          <w:rFonts w:eastAsia="Times New Roman" w:cs="Times New Roman"/>
          <w:i/>
          <w:iCs/>
          <w:szCs w:val="24"/>
          <w:bdr w:val="none" w:sz="0" w:space="0" w:color="auto" w:frame="1"/>
        </w:rPr>
        <w:t>Chinaryan</w:t>
      </w:r>
      <w:proofErr w:type="spellEnd"/>
      <w:r w:rsidRPr="00AB01E1">
        <w:rPr>
          <w:rFonts w:eastAsia="Times New Roman" w:cs="Times New Roman"/>
          <w:szCs w:val="24"/>
        </w:rPr>
        <w:t>, the trial judge may consider using a special verdict to identify the specific findings as to each plaintiff and defendant.</w:t>
      </w:r>
    </w:p>
    <w:p w14:paraId="2319F5C2" w14:textId="77777777" w:rsidR="00AB01E1" w:rsidRPr="00AB01E1" w:rsidRDefault="00AB01E1" w:rsidP="00AB01E1">
      <w:pPr>
        <w:autoSpaceDE w:val="0"/>
        <w:autoSpaceDN w:val="0"/>
        <w:adjustRightInd w:val="0"/>
        <w:rPr>
          <w:rFonts w:eastAsia="Calibri" w:cs="Times New Roman"/>
          <w:szCs w:val="24"/>
        </w:rPr>
      </w:pPr>
    </w:p>
    <w:p w14:paraId="35F5D125"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 xml:space="preserve">“In the context of a § 1983 action, a Fourth Amendment violation occurs when a person is arrested ‘without probable cause or other justification.’” </w:t>
      </w:r>
      <w:r w:rsidRPr="00AB01E1">
        <w:rPr>
          <w:rFonts w:eastAsia="Calibri" w:cs="Times New Roman"/>
          <w:i/>
          <w:szCs w:val="24"/>
        </w:rPr>
        <w:t>Vanegas v. City of Pasadena</w:t>
      </w:r>
      <w:r w:rsidRPr="00AB01E1">
        <w:rPr>
          <w:rFonts w:eastAsia="Calibri" w:cs="Times New Roman"/>
          <w:szCs w:val="24"/>
        </w:rPr>
        <w:t xml:space="preserve">, 46 F.4th 1159, 1164 (9th Cir. 2022) (quoting </w:t>
      </w:r>
      <w:r w:rsidRPr="00AB01E1">
        <w:rPr>
          <w:rFonts w:eastAsia="Calibri" w:cs="Times New Roman"/>
          <w:i/>
          <w:szCs w:val="24"/>
        </w:rPr>
        <w:t>Lacey v. Maricopa County</w:t>
      </w:r>
      <w:r w:rsidRPr="00AB01E1">
        <w:rPr>
          <w:rFonts w:eastAsia="Calibri" w:cs="Times New Roman"/>
          <w:szCs w:val="24"/>
        </w:rPr>
        <w:t>, 693 F.3d 896, 918 (9th Cir. 2012) (</w:t>
      </w:r>
      <w:proofErr w:type="spellStart"/>
      <w:r w:rsidRPr="00AB01E1">
        <w:rPr>
          <w:rFonts w:eastAsia="Calibri" w:cs="Times New Roman"/>
          <w:szCs w:val="24"/>
        </w:rPr>
        <w:t>en</w:t>
      </w:r>
      <w:proofErr w:type="spellEnd"/>
      <w:r w:rsidRPr="00AB01E1">
        <w:rPr>
          <w:rFonts w:eastAsia="Calibri" w:cs="Times New Roman"/>
          <w:szCs w:val="24"/>
        </w:rPr>
        <w:t xml:space="preserve"> banc)). “Probable cause exists if the arresting officers had knowledge and reasonably trustworthy information of facts and circumstances sufficient to lead a prudent person to believe that [the arrestee] had committed or was committing a crime.”</w:t>
      </w:r>
      <w:r w:rsidRPr="00AB01E1">
        <w:rPr>
          <w:rFonts w:eastAsia="Calibri" w:cs="Times New Roman"/>
          <w:i/>
          <w:szCs w:val="24"/>
        </w:rPr>
        <w:t xml:space="preserve"> </w:t>
      </w:r>
      <w:proofErr w:type="spellStart"/>
      <w:r w:rsidRPr="00AB01E1">
        <w:rPr>
          <w:rFonts w:eastAsia="Calibri" w:cs="Times New Roman"/>
          <w:i/>
          <w:szCs w:val="24"/>
        </w:rPr>
        <w:t>Gravelet</w:t>
      </w:r>
      <w:proofErr w:type="spellEnd"/>
      <w:r w:rsidRPr="00AB01E1">
        <w:rPr>
          <w:rFonts w:eastAsia="Calibri" w:cs="Times New Roman"/>
          <w:i/>
          <w:szCs w:val="24"/>
        </w:rPr>
        <w:t>-Blondin v. Shelton</w:t>
      </w:r>
      <w:r w:rsidRPr="00AB01E1">
        <w:rPr>
          <w:rFonts w:eastAsia="Calibri" w:cs="Times New Roman"/>
          <w:szCs w:val="24"/>
        </w:rPr>
        <w:t>, 728 F.3d 1086, 1097-98 (9th Cir. 2013)</w:t>
      </w:r>
      <w:r w:rsidRPr="00AB01E1">
        <w:rPr>
          <w:rFonts w:eastAsia="Calibri" w:cs="Times New Roman"/>
          <w:i/>
          <w:szCs w:val="24"/>
        </w:rPr>
        <w:t xml:space="preserve"> </w:t>
      </w:r>
      <w:r w:rsidRPr="00AB01E1">
        <w:rPr>
          <w:rFonts w:eastAsia="Calibri" w:cs="Times New Roman"/>
          <w:szCs w:val="24"/>
        </w:rPr>
        <w:t xml:space="preserve">(alteration in original) (quoting </w:t>
      </w:r>
      <w:r w:rsidRPr="00AB01E1">
        <w:rPr>
          <w:rFonts w:eastAsia="Calibri" w:cs="Times New Roman"/>
          <w:i/>
          <w:szCs w:val="24"/>
        </w:rPr>
        <w:t>Maxwell v. County of San Diego</w:t>
      </w:r>
      <w:r w:rsidRPr="00AB01E1">
        <w:rPr>
          <w:rFonts w:eastAsia="Calibri" w:cs="Times New Roman"/>
          <w:szCs w:val="24"/>
        </w:rPr>
        <w:t xml:space="preserve">, 697 F.3d 941, 951 (9th Cir. 2012)). “To determine whether an officer had probable cause for an arrest, we examine the events leading up to the arrest, and then decide whether these </w:t>
      </w:r>
      <w:r w:rsidRPr="00AB01E1">
        <w:rPr>
          <w:rFonts w:eastAsia="Calibri" w:cs="Times New Roman"/>
          <w:szCs w:val="24"/>
        </w:rPr>
        <w:lastRenderedPageBreak/>
        <w:t xml:space="preserve">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AB01E1">
        <w:rPr>
          <w:rFonts w:eastAsia="Calibri" w:cs="Times New Roman"/>
          <w:i/>
          <w:szCs w:val="24"/>
        </w:rPr>
        <w:t>District of Columbia v. Wesby</w:t>
      </w:r>
      <w:r w:rsidRPr="00AB01E1">
        <w:rPr>
          <w:rFonts w:eastAsia="Calibri" w:cs="Times New Roman"/>
          <w:szCs w:val="24"/>
        </w:rPr>
        <w:t xml:space="preserve">, 583 U.S. 48, 57 (2018) (internal quotations and citations omitted); </w:t>
      </w:r>
      <w:r w:rsidRPr="00AB01E1">
        <w:rPr>
          <w:rFonts w:eastAsia="Calibri" w:cs="Times New Roman"/>
          <w:i/>
          <w:szCs w:val="24"/>
        </w:rPr>
        <w:t>see also Miller v. City of Scottsdale</w:t>
      </w:r>
      <w:r w:rsidRPr="00AB01E1">
        <w:rPr>
          <w:rFonts w:eastAsia="Calibri" w:cs="Times New Roman"/>
          <w:szCs w:val="24"/>
        </w:rPr>
        <w:t xml:space="preserve">, 88 F.4th 800, 804 (9th Cir. 2023) (“For probable cause, officers may rely on information gained by other officers under the ‘collective knowledge’ doctrine.”). </w:t>
      </w:r>
    </w:p>
    <w:p w14:paraId="32653EBA" w14:textId="77777777" w:rsidR="00AB01E1" w:rsidRPr="00AB01E1" w:rsidRDefault="00AB01E1" w:rsidP="00AB01E1">
      <w:pPr>
        <w:autoSpaceDE w:val="0"/>
        <w:autoSpaceDN w:val="0"/>
        <w:adjustRightInd w:val="0"/>
        <w:rPr>
          <w:rFonts w:eastAsia="Calibri" w:cs="Times New Roman"/>
          <w:szCs w:val="24"/>
        </w:rPr>
      </w:pPr>
    </w:p>
    <w:p w14:paraId="71242794"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 xml:space="preserve">In </w:t>
      </w:r>
      <w:proofErr w:type="spellStart"/>
      <w:r w:rsidRPr="00AB01E1">
        <w:rPr>
          <w:rFonts w:eastAsia="Calibri" w:cs="Times New Roman"/>
          <w:i/>
          <w:szCs w:val="24"/>
        </w:rPr>
        <w:t>Devenpeck</w:t>
      </w:r>
      <w:proofErr w:type="spellEnd"/>
      <w:r w:rsidRPr="00AB01E1">
        <w:rPr>
          <w:rFonts w:eastAsia="Calibri" w:cs="Times New Roman"/>
          <w:i/>
          <w:szCs w:val="24"/>
        </w:rPr>
        <w:t xml:space="preserve"> v. Alford</w:t>
      </w:r>
      <w:r w:rsidRPr="00AB01E1">
        <w:rPr>
          <w:rFonts w:eastAsia="Calibri" w:cs="Times New Roman"/>
          <w:szCs w:val="24"/>
        </w:rPr>
        <w:t>, the Supreme Court reiterated the Fourth Amendment standards applicable in a § 1983 claim for false arrest:</w:t>
      </w:r>
    </w:p>
    <w:p w14:paraId="130F59F2" w14:textId="77777777" w:rsidR="00AB01E1" w:rsidRPr="00AB01E1" w:rsidRDefault="00AB01E1" w:rsidP="00AB01E1">
      <w:pPr>
        <w:autoSpaceDE w:val="0"/>
        <w:autoSpaceDN w:val="0"/>
        <w:adjustRightInd w:val="0"/>
        <w:rPr>
          <w:rFonts w:eastAsia="Calibri" w:cs="Times New Roman"/>
          <w:szCs w:val="24"/>
        </w:rPr>
      </w:pPr>
    </w:p>
    <w:p w14:paraId="4EFA5215" w14:textId="77777777" w:rsidR="00AB01E1" w:rsidRPr="00AB01E1" w:rsidRDefault="00AB01E1" w:rsidP="00AB01E1">
      <w:pPr>
        <w:autoSpaceDE w:val="0"/>
        <w:autoSpaceDN w:val="0"/>
        <w:adjustRightInd w:val="0"/>
        <w:ind w:left="720" w:right="720"/>
        <w:jc w:val="both"/>
        <w:rPr>
          <w:rFonts w:eastAsia="Calibri" w:cs="Times New Roman"/>
          <w:szCs w:val="24"/>
        </w:rPr>
      </w:pPr>
      <w:r w:rsidRPr="00AB01E1">
        <w:rPr>
          <w:rFonts w:eastAsia="Calibri" w:cs="Times New Roman"/>
          <w:szCs w:val="24"/>
        </w:rPr>
        <w:t xml:space="preserve">The Fourth Amendment protects “[t]he right of the people to be secure in their persons, houses, papers, and effects, against unreasonable searches and seizures.” </w:t>
      </w:r>
    </w:p>
    <w:p w14:paraId="742BE02B" w14:textId="77777777" w:rsidR="00AB01E1" w:rsidRPr="00AB01E1" w:rsidRDefault="00AB01E1" w:rsidP="00AB01E1">
      <w:pPr>
        <w:autoSpaceDE w:val="0"/>
        <w:autoSpaceDN w:val="0"/>
        <w:adjustRightInd w:val="0"/>
        <w:ind w:left="720" w:right="720"/>
        <w:jc w:val="both"/>
        <w:rPr>
          <w:rFonts w:eastAsia="Calibri" w:cs="Times New Roman"/>
          <w:szCs w:val="24"/>
        </w:rPr>
      </w:pPr>
      <w:r w:rsidRPr="00AB01E1">
        <w:rPr>
          <w:rFonts w:eastAsia="Calibri"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5243CB14" w14:textId="77777777" w:rsidR="00AB01E1" w:rsidRPr="00AB01E1" w:rsidRDefault="00AB01E1" w:rsidP="00AB01E1">
      <w:pPr>
        <w:autoSpaceDE w:val="0"/>
        <w:autoSpaceDN w:val="0"/>
        <w:adjustRightInd w:val="0"/>
        <w:ind w:left="720" w:right="720"/>
        <w:jc w:val="both"/>
        <w:rPr>
          <w:rFonts w:eastAsia="Calibri" w:cs="Times New Roman"/>
          <w:szCs w:val="24"/>
        </w:rPr>
      </w:pPr>
    </w:p>
    <w:p w14:paraId="0DD2A90B" w14:textId="77777777" w:rsidR="00AB01E1" w:rsidRPr="00AB01E1" w:rsidRDefault="00AB01E1" w:rsidP="00AB01E1">
      <w:pPr>
        <w:autoSpaceDE w:val="0"/>
        <w:autoSpaceDN w:val="0"/>
        <w:adjustRightInd w:val="0"/>
        <w:ind w:left="720" w:right="720"/>
        <w:jc w:val="both"/>
        <w:rPr>
          <w:rFonts w:eastAsia="Calibri" w:cs="Times New Roman"/>
          <w:szCs w:val="24"/>
        </w:rPr>
      </w:pPr>
      <w:r w:rsidRPr="00AB01E1">
        <w:rPr>
          <w:rFonts w:eastAsia="Calibri" w:cs="Times New Roman"/>
          <w:szCs w:val="24"/>
        </w:rPr>
        <w:t xml:space="preserve">Our cases make clear that an arresting officer’s state of mind (except for the facts that he knows) is irrelevant to the existence of probable cause. </w:t>
      </w:r>
      <w:proofErr w:type="gramStart"/>
      <w:r w:rsidRPr="00AB01E1">
        <w:rPr>
          <w:rFonts w:eastAsia="Calibri" w:cs="Times New Roman"/>
          <w:szCs w:val="24"/>
        </w:rPr>
        <w:t>That is to say, his</w:t>
      </w:r>
      <w:proofErr w:type="gramEnd"/>
      <w:r w:rsidRPr="00AB01E1">
        <w:rPr>
          <w:rFonts w:eastAsia="Calibri" w:cs="Times New Roman"/>
          <w:szCs w:val="24"/>
        </w:rPr>
        <w:t xml:space="preserve">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AB01E1">
        <w:rPr>
          <w:rFonts w:eastAsia="Calibri" w:cs="Times New Roman"/>
          <w:i/>
          <w:szCs w:val="24"/>
        </w:rPr>
        <w:t>whatever</w:t>
      </w:r>
      <w:r w:rsidRPr="00AB01E1">
        <w:rPr>
          <w:rFonts w:eastAsia="Calibri" w:cs="Times New Roman"/>
          <w:szCs w:val="24"/>
        </w:rPr>
        <w:t xml:space="preserve"> the subjective intent.”</w:t>
      </w:r>
    </w:p>
    <w:p w14:paraId="65ABB840" w14:textId="77777777" w:rsidR="00AB01E1" w:rsidRPr="00AB01E1" w:rsidRDefault="00AB01E1" w:rsidP="00AB01E1">
      <w:pPr>
        <w:autoSpaceDE w:val="0"/>
        <w:autoSpaceDN w:val="0"/>
        <w:adjustRightInd w:val="0"/>
        <w:rPr>
          <w:rFonts w:eastAsia="Calibri" w:cs="Times New Roman"/>
          <w:szCs w:val="24"/>
        </w:rPr>
      </w:pPr>
    </w:p>
    <w:p w14:paraId="07C8645E" w14:textId="77777777" w:rsidR="00AB01E1" w:rsidRPr="00AB01E1" w:rsidRDefault="00AB01E1" w:rsidP="00AB01E1">
      <w:pPr>
        <w:autoSpaceDE w:val="0"/>
        <w:autoSpaceDN w:val="0"/>
        <w:adjustRightInd w:val="0"/>
        <w:rPr>
          <w:rFonts w:eastAsia="Calibri" w:cs="Times New Roman"/>
          <w:szCs w:val="24"/>
        </w:rPr>
      </w:pPr>
      <w:proofErr w:type="spellStart"/>
      <w:r w:rsidRPr="00AB01E1">
        <w:rPr>
          <w:rFonts w:eastAsia="Calibri" w:cs="Times New Roman"/>
          <w:i/>
          <w:szCs w:val="24"/>
        </w:rPr>
        <w:t>Devenpeck</w:t>
      </w:r>
      <w:proofErr w:type="spellEnd"/>
      <w:r w:rsidRPr="00AB01E1">
        <w:rPr>
          <w:rFonts w:eastAsia="Calibri" w:cs="Times New Roman"/>
          <w:i/>
          <w:szCs w:val="24"/>
        </w:rPr>
        <w:t xml:space="preserve"> v. Alford</w:t>
      </w:r>
      <w:r w:rsidRPr="00AB01E1">
        <w:rPr>
          <w:rFonts w:eastAsia="Calibri" w:cs="Times New Roman"/>
          <w:szCs w:val="24"/>
        </w:rPr>
        <w:t xml:space="preserve">, 543 U.S. 146, 152-53 (2004) (citations omitted) (emphasis in original). </w:t>
      </w:r>
    </w:p>
    <w:p w14:paraId="2DBF19F4" w14:textId="77777777" w:rsidR="00AB01E1" w:rsidRPr="00AB01E1" w:rsidRDefault="00AB01E1" w:rsidP="00AB01E1">
      <w:pPr>
        <w:autoSpaceDE w:val="0"/>
        <w:autoSpaceDN w:val="0"/>
        <w:adjustRightInd w:val="0"/>
        <w:rPr>
          <w:rFonts w:eastAsia="Calibri" w:cs="Times New Roman"/>
          <w:szCs w:val="24"/>
        </w:rPr>
      </w:pPr>
    </w:p>
    <w:p w14:paraId="17537B23"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AB01E1">
        <w:rPr>
          <w:rFonts w:eastAsia="Calibri" w:cs="Times New Roman"/>
          <w:i/>
          <w:szCs w:val="24"/>
        </w:rPr>
        <w:t>United States v. Struckman</w:t>
      </w:r>
      <w:r w:rsidRPr="00AB01E1">
        <w:rPr>
          <w:rFonts w:eastAsia="Calibri"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AB01E1">
        <w:rPr>
          <w:rFonts w:eastAsia="Calibri" w:cs="Times New Roman"/>
          <w:i/>
          <w:szCs w:val="24"/>
        </w:rPr>
        <w:t>Atwater v. City of Lago Vista</w:t>
      </w:r>
      <w:r w:rsidRPr="00AB01E1">
        <w:rPr>
          <w:rFonts w:eastAsia="Calibri" w:cs="Times New Roman"/>
          <w:szCs w:val="24"/>
        </w:rPr>
        <w:t>, 532 U.S. 318, 354 (2001).</w:t>
      </w:r>
      <w:r w:rsidRPr="00AB01E1">
        <w:rPr>
          <w:rFonts w:eastAsia="Calibri" w:cs="Times New Roman"/>
          <w:i/>
          <w:szCs w:val="24"/>
        </w:rPr>
        <w:t xml:space="preserve"> </w:t>
      </w:r>
      <w:r w:rsidRPr="00AB01E1">
        <w:rPr>
          <w:rFonts w:eastAsia="Calibri" w:cs="Times New Roman"/>
          <w:szCs w:val="24"/>
        </w:rPr>
        <w:t>“‘[S]</w:t>
      </w:r>
      <w:proofErr w:type="spellStart"/>
      <w:r w:rsidRPr="00AB01E1">
        <w:rPr>
          <w:rFonts w:eastAsia="Calibri" w:cs="Times New Roman"/>
          <w:szCs w:val="24"/>
        </w:rPr>
        <w:t>tate</w:t>
      </w:r>
      <w:proofErr w:type="spellEnd"/>
      <w:r w:rsidRPr="00AB01E1">
        <w:rPr>
          <w:rFonts w:eastAsia="Calibri" w:cs="Times New Roman"/>
          <w:szCs w:val="24"/>
        </w:rPr>
        <w:t xml:space="preserve"> restrictions [on arrest] do not alter the Fourth Amendment’s protections,’ and under federal law, ‘warrantless arrests for crimes committed in the presence of an arresting officer are reasonable under the Constitution.’” </w:t>
      </w:r>
      <w:r w:rsidRPr="00AB01E1">
        <w:rPr>
          <w:rFonts w:eastAsia="Calibri" w:cs="Times New Roman"/>
          <w:i/>
          <w:szCs w:val="24"/>
        </w:rPr>
        <w:t>Edgerly v. City &amp; County of San Francisco</w:t>
      </w:r>
      <w:r w:rsidRPr="00AB01E1">
        <w:rPr>
          <w:rFonts w:eastAsia="Calibri" w:cs="Times New Roman"/>
          <w:szCs w:val="24"/>
        </w:rPr>
        <w:t xml:space="preserve">, 599 F.3d 946, 956 (9th Cir. 2010) (second alteration in original) (quoting </w:t>
      </w:r>
      <w:r w:rsidRPr="00AB01E1">
        <w:rPr>
          <w:rFonts w:eastAsia="Calibri" w:cs="Times New Roman"/>
          <w:i/>
          <w:szCs w:val="24"/>
        </w:rPr>
        <w:t>Virginia v. Moore</w:t>
      </w:r>
      <w:r w:rsidRPr="00AB01E1">
        <w:rPr>
          <w:rFonts w:eastAsia="Calibri" w:cs="Times New Roman"/>
          <w:szCs w:val="24"/>
        </w:rPr>
        <w:t xml:space="preserve">, 553 U.S. 164, 176 (2008)). A warrantless arrest for a crime committed in the presence of an arresting officer is permitted, even if the offense, as a matter of state law, was one for which the officers should have issued a summons rather than made an arrest. </w:t>
      </w:r>
      <w:r w:rsidRPr="00AB01E1">
        <w:rPr>
          <w:rFonts w:eastAsia="Calibri" w:cs="Times New Roman"/>
          <w:i/>
          <w:szCs w:val="24"/>
        </w:rPr>
        <w:t>Moore</w:t>
      </w:r>
      <w:r w:rsidRPr="00AB01E1">
        <w:rPr>
          <w:rFonts w:eastAsia="Calibri" w:cs="Times New Roman"/>
          <w:szCs w:val="24"/>
        </w:rPr>
        <w:t xml:space="preserve">, 553 U.S. at 167-72. </w:t>
      </w:r>
    </w:p>
    <w:p w14:paraId="78A7AADA" w14:textId="77777777" w:rsidR="00AB01E1" w:rsidRPr="00AB01E1" w:rsidRDefault="00AB01E1" w:rsidP="00AB01E1">
      <w:pPr>
        <w:autoSpaceDE w:val="0"/>
        <w:autoSpaceDN w:val="0"/>
        <w:adjustRightInd w:val="0"/>
        <w:ind w:firstLine="720"/>
        <w:rPr>
          <w:rFonts w:eastAsia="Calibri" w:cs="Times New Roman"/>
          <w:szCs w:val="24"/>
        </w:rPr>
      </w:pPr>
    </w:p>
    <w:p w14:paraId="535275CA" w14:textId="77777777" w:rsidR="00AB01E1" w:rsidRPr="00AB01E1" w:rsidRDefault="00AB01E1" w:rsidP="00AB01E1">
      <w:pPr>
        <w:autoSpaceDE w:val="0"/>
        <w:autoSpaceDN w:val="0"/>
        <w:adjustRightInd w:val="0"/>
        <w:ind w:firstLine="720"/>
        <w:rPr>
          <w:rFonts w:eastAsia="Calibri" w:cs="Times New Roman"/>
          <w:szCs w:val="24"/>
        </w:rPr>
      </w:pPr>
      <w:r w:rsidRPr="00AB01E1">
        <w:rPr>
          <w:rFonts w:eastAsia="Calibri"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AB01E1">
        <w:rPr>
          <w:rFonts w:eastAsia="Calibri" w:cs="Times New Roman"/>
          <w:i/>
          <w:szCs w:val="24"/>
        </w:rPr>
        <w:t>Payton v. New York</w:t>
      </w:r>
      <w:r w:rsidRPr="00AB01E1">
        <w:rPr>
          <w:rFonts w:eastAsia="Calibri" w:cs="Times New Roman"/>
          <w:szCs w:val="24"/>
        </w:rPr>
        <w:t xml:space="preserve">, 445 U.S. 573, 590 (1980); </w:t>
      </w:r>
      <w:r w:rsidRPr="00AB01E1">
        <w:rPr>
          <w:rFonts w:eastAsia="Calibri" w:cs="Times New Roman"/>
          <w:i/>
          <w:szCs w:val="24"/>
        </w:rPr>
        <w:t>see also</w:t>
      </w:r>
      <w:r w:rsidRPr="00AB01E1">
        <w:rPr>
          <w:rFonts w:eastAsia="Calibri" w:cs="Times New Roman"/>
          <w:szCs w:val="24"/>
        </w:rPr>
        <w:t xml:space="preserve"> </w:t>
      </w:r>
      <w:r w:rsidRPr="00AB01E1">
        <w:rPr>
          <w:rFonts w:eastAsia="Calibri" w:cs="Times New Roman"/>
          <w:i/>
          <w:szCs w:val="24"/>
        </w:rPr>
        <w:t xml:space="preserve">Hopkins v. </w:t>
      </w:r>
      <w:proofErr w:type="spellStart"/>
      <w:r w:rsidRPr="00AB01E1">
        <w:rPr>
          <w:rFonts w:eastAsia="Calibri" w:cs="Times New Roman"/>
          <w:i/>
          <w:szCs w:val="24"/>
        </w:rPr>
        <w:t>Bonvicino</w:t>
      </w:r>
      <w:proofErr w:type="spellEnd"/>
      <w:r w:rsidRPr="00AB01E1">
        <w:rPr>
          <w:rFonts w:eastAsia="Calibri"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AB01E1">
        <w:rPr>
          <w:rFonts w:eastAsia="Calibri" w:cs="Times New Roman"/>
          <w:i/>
          <w:szCs w:val="24"/>
        </w:rPr>
        <w:t>Nicholson</w:t>
      </w:r>
      <w:r w:rsidRPr="00AB01E1">
        <w:rPr>
          <w:rFonts w:eastAsia="Calibri" w:cs="Times New Roman"/>
          <w:szCs w:val="24"/>
        </w:rPr>
        <w:t xml:space="preserve"> v. </w:t>
      </w:r>
      <w:r w:rsidRPr="00AB01E1">
        <w:rPr>
          <w:rFonts w:eastAsia="Calibri" w:cs="Times New Roman"/>
          <w:i/>
          <w:szCs w:val="24"/>
        </w:rPr>
        <w:t>City of Los Angeles</w:t>
      </w:r>
      <w:r w:rsidRPr="00AB01E1">
        <w:rPr>
          <w:rFonts w:eastAsia="Calibri" w:cs="Times New Roman"/>
          <w:szCs w:val="24"/>
        </w:rPr>
        <w:t>, 935 F.3d 685, 691 (9th Cir. 2019) (“[I]t was soon apparent to the officers that the teenagers were unarmed, posed no threat to anyone, and were not engaged in any criminal activity.”).</w:t>
      </w:r>
    </w:p>
    <w:p w14:paraId="1D7DA552" w14:textId="77777777" w:rsidR="00AB01E1" w:rsidRPr="00AB01E1" w:rsidRDefault="00AB01E1" w:rsidP="00AB01E1">
      <w:pPr>
        <w:autoSpaceDE w:val="0"/>
        <w:autoSpaceDN w:val="0"/>
        <w:adjustRightInd w:val="0"/>
        <w:rPr>
          <w:rFonts w:eastAsia="Calibri" w:cs="Times New Roman"/>
          <w:szCs w:val="24"/>
        </w:rPr>
      </w:pPr>
    </w:p>
    <w:p w14:paraId="783BF395" w14:textId="77777777" w:rsidR="00AB01E1" w:rsidRPr="00AB01E1" w:rsidRDefault="00AB01E1" w:rsidP="00AB01E1">
      <w:pPr>
        <w:autoSpaceDE w:val="0"/>
        <w:autoSpaceDN w:val="0"/>
        <w:adjustRightInd w:val="0"/>
        <w:ind w:firstLine="720"/>
        <w:rPr>
          <w:rFonts w:eastAsia="Calibri" w:cs="Times New Roman"/>
          <w:szCs w:val="24"/>
        </w:rPr>
      </w:pPr>
      <w:r w:rsidRPr="00AB01E1">
        <w:rPr>
          <w:rFonts w:eastAsia="Calibri" w:cs="Times New Roman"/>
          <w:szCs w:val="24"/>
        </w:rPr>
        <w:t xml:space="preserve">In </w:t>
      </w:r>
      <w:r w:rsidRPr="00AB01E1">
        <w:rPr>
          <w:rFonts w:eastAsia="Calibri" w:cs="Times New Roman"/>
          <w:i/>
          <w:szCs w:val="24"/>
        </w:rPr>
        <w:t>Reynaga Hernandez v. Skinner</w:t>
      </w:r>
      <w:r w:rsidRPr="00AB01E1">
        <w:rPr>
          <w:rFonts w:eastAsia="Calibri" w:cs="Times New Roman"/>
          <w:szCs w:val="24"/>
        </w:rPr>
        <w:t xml:space="preserve">, 969 F.3d 930, 940-41 (9th Cir. 2020), the Ninth Circuit explained that to determine whether a </w:t>
      </w:r>
      <w:r w:rsidRPr="00AB01E1">
        <w:rPr>
          <w:rFonts w:eastAsia="Calibri" w:cs="Times New Roman"/>
          <w:i/>
          <w:szCs w:val="24"/>
        </w:rPr>
        <w:t>Terry</w:t>
      </w:r>
      <w:r w:rsidRPr="00AB01E1">
        <w:rPr>
          <w:rFonts w:eastAsia="Calibri"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2EFC8F32" w14:textId="77777777" w:rsidR="00AB01E1" w:rsidRPr="00AB01E1" w:rsidRDefault="00AB01E1" w:rsidP="00AB01E1">
      <w:pPr>
        <w:autoSpaceDE w:val="0"/>
        <w:autoSpaceDN w:val="0"/>
        <w:adjustRightInd w:val="0"/>
        <w:rPr>
          <w:rFonts w:eastAsia="Calibri" w:cs="Times New Roman"/>
          <w:szCs w:val="24"/>
        </w:rPr>
      </w:pPr>
    </w:p>
    <w:p w14:paraId="2A0E3294" w14:textId="77777777" w:rsidR="00AB01E1" w:rsidRPr="00AB01E1" w:rsidRDefault="00AB01E1" w:rsidP="00AB01E1">
      <w:pPr>
        <w:autoSpaceDE w:val="0"/>
        <w:autoSpaceDN w:val="0"/>
        <w:adjustRightInd w:val="0"/>
        <w:rPr>
          <w:rFonts w:eastAsia="Calibri" w:cs="Times New Roman"/>
          <w:szCs w:val="24"/>
        </w:rPr>
      </w:pPr>
      <w:r w:rsidRPr="00AB01E1">
        <w:rPr>
          <w:rFonts w:eastAsia="Calibri"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AB01E1">
        <w:rPr>
          <w:rFonts w:eastAsia="Calibri" w:cs="Times New Roman"/>
          <w:i/>
          <w:szCs w:val="24"/>
        </w:rPr>
        <w:t>Scott v. City of San Bernardino</w:t>
      </w:r>
      <w:r w:rsidRPr="00AB01E1">
        <w:rPr>
          <w:rFonts w:eastAsia="Calibri" w:cs="Times New Roman"/>
          <w:szCs w:val="24"/>
        </w:rPr>
        <w:t>, 903 F.3d 943, 949 (9th Cir. 2018) (affirming summary judgment in favor of the plaintiff middle school students unreasonably arrested without probable cause).</w:t>
      </w:r>
    </w:p>
    <w:p w14:paraId="7DB72131" w14:textId="77777777" w:rsidR="00AB01E1" w:rsidRPr="00AB01E1" w:rsidRDefault="00AB01E1" w:rsidP="00AB01E1">
      <w:pPr>
        <w:autoSpaceDE w:val="0"/>
        <w:autoSpaceDN w:val="0"/>
        <w:adjustRightInd w:val="0"/>
        <w:rPr>
          <w:rFonts w:eastAsia="Calibri" w:cs="Times New Roman"/>
          <w:szCs w:val="24"/>
        </w:rPr>
      </w:pPr>
    </w:p>
    <w:p w14:paraId="7581554D" w14:textId="77777777" w:rsidR="00AB01E1" w:rsidRPr="00AB01E1" w:rsidRDefault="00AB01E1" w:rsidP="00AB01E1">
      <w:pPr>
        <w:jc w:val="right"/>
        <w:rPr>
          <w:rFonts w:eastAsia="Calibri" w:cs="Times New Roman"/>
          <w:szCs w:val="24"/>
        </w:rPr>
      </w:pPr>
      <w:r w:rsidRPr="00AB01E1">
        <w:rPr>
          <w:rFonts w:eastAsia="Calibri" w:cs="Times New Roman"/>
          <w:i/>
          <w:iCs/>
          <w:szCs w:val="24"/>
        </w:rPr>
        <w:t>Revised June 2025</w:t>
      </w:r>
    </w:p>
    <w:p w14:paraId="2D4FC971" w14:textId="240E6707" w:rsidR="00B03D36" w:rsidRPr="00AD0E12" w:rsidRDefault="00B03D36" w:rsidP="00AB01E1">
      <w:pPr>
        <w:autoSpaceDE w:val="0"/>
        <w:autoSpaceDN w:val="0"/>
        <w:adjustRightInd w:val="0"/>
      </w:pPr>
    </w:p>
    <w:sectPr w:rsidR="00B03D36" w:rsidRPr="00AD0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2610D"/>
    <w:rsid w:val="001B2DC0"/>
    <w:rsid w:val="001F5CAF"/>
    <w:rsid w:val="00277CB1"/>
    <w:rsid w:val="004922F2"/>
    <w:rsid w:val="004A269F"/>
    <w:rsid w:val="00547BD9"/>
    <w:rsid w:val="005C199C"/>
    <w:rsid w:val="00610EC8"/>
    <w:rsid w:val="00645E89"/>
    <w:rsid w:val="00693083"/>
    <w:rsid w:val="00922469"/>
    <w:rsid w:val="00976952"/>
    <w:rsid w:val="00AB01E1"/>
    <w:rsid w:val="00AD0E12"/>
    <w:rsid w:val="00B03D36"/>
    <w:rsid w:val="00B96321"/>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02610D"/>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7034</Characters>
  <Application>Microsoft Office Word</Application>
  <DocSecurity>0</DocSecurity>
  <Lines>58</Lines>
  <Paragraphs>16</Paragraphs>
  <ScaleCrop>false</ScaleCrop>
  <Company>United States Courts</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2</cp:revision>
  <dcterms:created xsi:type="dcterms:W3CDTF">2026-02-26T23:46:00Z</dcterms:created>
  <dcterms:modified xsi:type="dcterms:W3CDTF">2026-02-26T23:46:00Z</dcterms:modified>
</cp:coreProperties>
</file>