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D5DF" w14:textId="77777777" w:rsidR="0043667B" w:rsidRPr="004913BA" w:rsidRDefault="0043667B" w:rsidP="0043667B">
      <w:pPr>
        <w:pStyle w:val="Heading1"/>
      </w:pPr>
      <w:bookmarkStart w:id="0" w:name="_Toc167357275"/>
      <w:bookmarkStart w:id="1" w:name="_Toc184822670"/>
      <w:r w:rsidRPr="004913BA">
        <w:t>9.27 Particular Rights—Eighth Amendment—Convicted Prisoner’s Claim Re Conditions of Confinement/Medical Care</w:t>
      </w:r>
      <w:bookmarkEnd w:id="0"/>
      <w:bookmarkEnd w:id="1"/>
    </w:p>
    <w:p w14:paraId="7BABA2C6" w14:textId="77777777" w:rsidR="0043667B" w:rsidRPr="004913BA" w:rsidRDefault="0043667B" w:rsidP="0043667B">
      <w:pPr>
        <w:autoSpaceDE w:val="0"/>
        <w:autoSpaceDN w:val="0"/>
        <w:adjustRightInd w:val="0"/>
      </w:pPr>
      <w:r w:rsidRPr="004913BA">
        <w:t xml:space="preserve"> </w:t>
      </w:r>
    </w:p>
    <w:p w14:paraId="0290932C" w14:textId="77777777" w:rsidR="0043667B" w:rsidRPr="004913BA" w:rsidRDefault="0043667B" w:rsidP="0043667B">
      <w:pPr>
        <w:autoSpaceDE w:val="0"/>
        <w:autoSpaceDN w:val="0"/>
        <w:adjustRightInd w:val="0"/>
        <w:ind w:firstLine="720"/>
      </w:pPr>
      <w:r w:rsidRPr="004913BA">
        <w:t>As previously explained, the plaintiff has the burden of proving that the [act[s]] [failure to act] of the defendant deprived the plaintiff of particular rights under the United States Constitution. In this case, the plaintiff alleges the defendant deprived [him] [her] [</w:t>
      </w:r>
      <w:r w:rsidRPr="00FC46FC">
        <w:t>other pronoun</w:t>
      </w:r>
      <w:r w:rsidRPr="004913BA">
        <w:t>] of [his] [her] [</w:t>
      </w:r>
      <w:r w:rsidRPr="00FC46FC">
        <w:t>other pronoun</w:t>
      </w:r>
      <w:r w:rsidRPr="004913BA">
        <w:t>] rights under the Eighth Amendment to the Constitution when [</w:t>
      </w:r>
      <w:r w:rsidRPr="004913BA">
        <w:rPr>
          <w:i/>
          <w:u w:val="single"/>
        </w:rPr>
        <w:t>insert factual basis of the plaintiff’s claim</w:t>
      </w:r>
      <w:r w:rsidRPr="004913BA">
        <w:t>].</w:t>
      </w:r>
    </w:p>
    <w:p w14:paraId="7F6AC198" w14:textId="77777777" w:rsidR="0043667B" w:rsidRPr="004913BA" w:rsidRDefault="0043667B" w:rsidP="0043667B">
      <w:pPr>
        <w:autoSpaceDE w:val="0"/>
        <w:autoSpaceDN w:val="0"/>
        <w:adjustRightInd w:val="0"/>
      </w:pPr>
    </w:p>
    <w:p w14:paraId="3D91D06B" w14:textId="77777777" w:rsidR="0043667B" w:rsidRPr="004913BA" w:rsidRDefault="0043667B" w:rsidP="0043667B">
      <w:pPr>
        <w:autoSpaceDE w:val="0"/>
        <w:autoSpaceDN w:val="0"/>
        <w:adjustRightInd w:val="0"/>
      </w:pPr>
      <w:r w:rsidRPr="004913BA">
        <w:tab/>
        <w:t>Under the Eighth Amendment, a convicted prisoner has the right to be free from “cruel and unusual punishments.” This includes the right to [</w:t>
      </w:r>
      <w:r w:rsidRPr="004913BA">
        <w:rPr>
          <w:i/>
          <w:u w:val="single"/>
        </w:rPr>
        <w:t>specify particular constitutional interest</w:t>
      </w:r>
      <w:r w:rsidRPr="004913BA">
        <w:t>].  To prove the defendant deprived the plaintiff of this right, the plaintiff must prove the following additional elements by a preponderance of the evidence:</w:t>
      </w:r>
    </w:p>
    <w:p w14:paraId="1DF56E84" w14:textId="77777777" w:rsidR="0043667B" w:rsidRPr="004913BA" w:rsidRDefault="0043667B" w:rsidP="0043667B">
      <w:pPr>
        <w:autoSpaceDE w:val="0"/>
        <w:autoSpaceDN w:val="0"/>
        <w:adjustRightInd w:val="0"/>
      </w:pPr>
      <w:r w:rsidRPr="004913BA">
        <w:tab/>
      </w:r>
    </w:p>
    <w:p w14:paraId="6B9D8907" w14:textId="77777777" w:rsidR="0043667B" w:rsidRPr="004913BA" w:rsidRDefault="0043667B" w:rsidP="00007878">
      <w:pPr>
        <w:tabs>
          <w:tab w:val="left" w:pos="720"/>
          <w:tab w:val="left" w:pos="1260"/>
        </w:tabs>
        <w:autoSpaceDE w:val="0"/>
        <w:autoSpaceDN w:val="0"/>
        <w:adjustRightInd w:val="0"/>
      </w:pPr>
      <w:r w:rsidRPr="004913BA">
        <w:tab/>
      </w:r>
      <w:r w:rsidRPr="00844EC5">
        <w:rPr>
          <w:rFonts w:eastAsia="Calibri" w:cs="Times New Roman"/>
        </w:rPr>
        <w:t xml:space="preserve">First, </w:t>
      </w:r>
      <w:r w:rsidRPr="004913BA">
        <w:t>[the plaintiff faced a substantial risk of serious harm] [the plaintiff faced a serious medical need</w:t>
      </w:r>
      <w:proofErr w:type="gramStart"/>
      <w:r w:rsidRPr="004913BA">
        <w:t>];</w:t>
      </w:r>
      <w:proofErr w:type="gramEnd"/>
      <w:r w:rsidRPr="004913BA">
        <w:t xml:space="preserve"> </w:t>
      </w:r>
    </w:p>
    <w:p w14:paraId="159ED1E6" w14:textId="77777777" w:rsidR="0043667B" w:rsidRPr="004913BA" w:rsidRDefault="0043667B" w:rsidP="00007878">
      <w:pPr>
        <w:tabs>
          <w:tab w:val="left" w:pos="1260"/>
        </w:tabs>
        <w:autoSpaceDE w:val="0"/>
        <w:autoSpaceDN w:val="0"/>
        <w:adjustRightInd w:val="0"/>
      </w:pPr>
    </w:p>
    <w:p w14:paraId="08E71DE1" w14:textId="1491BDE4" w:rsidR="0043667B" w:rsidRPr="004913BA" w:rsidRDefault="006A6E36" w:rsidP="00007878">
      <w:pPr>
        <w:tabs>
          <w:tab w:val="left" w:pos="720"/>
          <w:tab w:val="left" w:pos="1260"/>
        </w:tabs>
        <w:autoSpaceDE w:val="0"/>
        <w:autoSpaceDN w:val="0"/>
        <w:adjustRightInd w:val="0"/>
      </w:pPr>
      <w:r>
        <w:rPr>
          <w:rFonts w:eastAsia="Calibri" w:cs="Times New Roman"/>
        </w:rPr>
        <w:tab/>
      </w:r>
      <w:r w:rsidR="0043667B" w:rsidRPr="00844EC5">
        <w:rPr>
          <w:rFonts w:eastAsia="Calibri" w:cs="Times New Roman"/>
        </w:rPr>
        <w:t xml:space="preserve">Second, </w:t>
      </w:r>
      <w:r w:rsidR="0043667B" w:rsidRPr="004913BA">
        <w:t>the defendant was deliberately indifferent to that [risk] [medical need], that is, the defendant knew of it and disregarded it by failing to take reasonable measures to address it; and</w:t>
      </w:r>
    </w:p>
    <w:p w14:paraId="2571F27E" w14:textId="77777777" w:rsidR="0043667B" w:rsidRPr="004913BA" w:rsidRDefault="0043667B" w:rsidP="0043667B">
      <w:pPr>
        <w:autoSpaceDE w:val="0"/>
        <w:autoSpaceDN w:val="0"/>
        <w:adjustRightInd w:val="0"/>
      </w:pPr>
    </w:p>
    <w:p w14:paraId="1F7096A1" w14:textId="77777777" w:rsidR="0043667B" w:rsidRPr="004913BA" w:rsidRDefault="0043667B" w:rsidP="0043667B">
      <w:pPr>
        <w:tabs>
          <w:tab w:val="left" w:pos="720"/>
          <w:tab w:val="left" w:pos="1440"/>
        </w:tabs>
        <w:autoSpaceDE w:val="0"/>
        <w:autoSpaceDN w:val="0"/>
        <w:adjustRightInd w:val="0"/>
        <w:ind w:left="1440" w:hanging="1440"/>
      </w:pPr>
      <w:r w:rsidRPr="004913BA">
        <w:tab/>
      </w:r>
      <w:r w:rsidRPr="00844EC5">
        <w:rPr>
          <w:rFonts w:eastAsia="Calibri" w:cs="Times New Roman"/>
        </w:rPr>
        <w:t xml:space="preserve">Third, </w:t>
      </w:r>
      <w:r w:rsidRPr="004913BA">
        <w:t>the [act[s]] [failure to act] of the defendant caused harm to the plaintiff.</w:t>
      </w:r>
    </w:p>
    <w:p w14:paraId="3D4F6393" w14:textId="77777777" w:rsidR="0043667B" w:rsidRPr="004913BA" w:rsidRDefault="0043667B" w:rsidP="0043667B">
      <w:pPr>
        <w:autoSpaceDE w:val="0"/>
        <w:autoSpaceDN w:val="0"/>
        <w:adjustRightInd w:val="0"/>
      </w:pPr>
    </w:p>
    <w:p w14:paraId="29ABC403" w14:textId="77777777" w:rsidR="0043667B" w:rsidRPr="004913BA" w:rsidRDefault="0043667B" w:rsidP="0043667B">
      <w:pPr>
        <w:autoSpaceDE w:val="0"/>
        <w:autoSpaceDN w:val="0"/>
        <w:adjustRightInd w:val="0"/>
      </w:pPr>
      <w:r w:rsidRPr="004913BA">
        <w:tab/>
        <w:t xml:space="preserve">“Deliberate indifference” is the conscious choice to disregard the consequences of one’s acts or omissions.  </w:t>
      </w:r>
      <w:r w:rsidRPr="004913BA">
        <w:tab/>
      </w:r>
    </w:p>
    <w:p w14:paraId="3D8B771D" w14:textId="77777777" w:rsidR="0043667B" w:rsidRPr="004913BA" w:rsidRDefault="0043667B" w:rsidP="0043667B">
      <w:pPr>
        <w:autoSpaceDE w:val="0"/>
        <w:autoSpaceDN w:val="0"/>
        <w:adjustRightInd w:val="0"/>
      </w:pPr>
    </w:p>
    <w:p w14:paraId="2A656D13" w14:textId="77777777" w:rsidR="0043667B" w:rsidRPr="004913BA" w:rsidRDefault="0043667B" w:rsidP="0043667B">
      <w:pPr>
        <w:autoSpaceDE w:val="0"/>
        <w:autoSpaceDN w:val="0"/>
        <w:adjustRightInd w:val="0"/>
      </w:pPr>
      <w:r w:rsidRPr="004913BA">
        <w:tab/>
        <w:t>[When the defendant lacks authority over budgeting decisions, the issue of whether a</w:t>
      </w:r>
    </w:p>
    <w:p w14:paraId="10164E11" w14:textId="77777777" w:rsidR="0043667B" w:rsidRPr="004913BA" w:rsidRDefault="0043667B" w:rsidP="0043667B">
      <w:pPr>
        <w:autoSpaceDE w:val="0"/>
        <w:autoSpaceDN w:val="0"/>
        <w:adjustRightInd w:val="0"/>
      </w:pPr>
      <w:r w:rsidRPr="004913BA">
        <w:t>prison official met [his] [her] [</w:t>
      </w:r>
      <w:r w:rsidRPr="00FC46FC">
        <w:t>other pronoun</w:t>
      </w:r>
      <w:r w:rsidRPr="004913BA">
        <w:t>] duties to an inmate under the Eighth Amendment must be considered in the context of the personnel, financial and other resources available to the</w:t>
      </w:r>
    </w:p>
    <w:p w14:paraId="42BDA5B0" w14:textId="77777777" w:rsidR="0043667B" w:rsidRPr="004913BA" w:rsidRDefault="0043667B" w:rsidP="0043667B">
      <w:pPr>
        <w:autoSpaceDE w:val="0"/>
        <w:autoSpaceDN w:val="0"/>
        <w:adjustRightInd w:val="0"/>
        <w:rPr>
          <w:b/>
        </w:rPr>
      </w:pPr>
      <w:r w:rsidRPr="004913BA">
        <w:t>defendant or which [he] [she] [</w:t>
      </w:r>
      <w:proofErr w:type="gramStart"/>
      <w:r w:rsidRPr="00FC46FC">
        <w:t>other</w:t>
      </w:r>
      <w:proofErr w:type="gramEnd"/>
      <w:r w:rsidRPr="00FC46FC">
        <w:t xml:space="preserve"> pronoun</w:t>
      </w:r>
      <w:r w:rsidRPr="004913BA">
        <w:t>] could reasonably obtain.]</w:t>
      </w:r>
      <w:r w:rsidRPr="004913BA">
        <w:br/>
      </w:r>
    </w:p>
    <w:p w14:paraId="008A1DAB" w14:textId="77777777" w:rsidR="0043667B" w:rsidRPr="004913BA" w:rsidRDefault="0043667B" w:rsidP="0043667B">
      <w:pPr>
        <w:autoSpaceDE w:val="0"/>
        <w:autoSpaceDN w:val="0"/>
        <w:adjustRightInd w:val="0"/>
        <w:jc w:val="center"/>
        <w:rPr>
          <w:b/>
        </w:rPr>
      </w:pPr>
      <w:r w:rsidRPr="004913BA">
        <w:rPr>
          <w:b/>
        </w:rPr>
        <w:t>Comment</w:t>
      </w:r>
    </w:p>
    <w:p w14:paraId="4DA0DC99" w14:textId="77777777" w:rsidR="0043667B" w:rsidRPr="004913BA" w:rsidRDefault="0043667B" w:rsidP="0043667B">
      <w:pPr>
        <w:autoSpaceDE w:val="0"/>
        <w:autoSpaceDN w:val="0"/>
        <w:adjustRightInd w:val="0"/>
        <w:rPr>
          <w:b/>
        </w:rPr>
      </w:pPr>
    </w:p>
    <w:p w14:paraId="2F3BAB42" w14:textId="77777777" w:rsidR="0043667B" w:rsidRPr="004913BA" w:rsidRDefault="0043667B" w:rsidP="0043667B">
      <w:pPr>
        <w:autoSpaceDE w:val="0"/>
        <w:autoSpaceDN w:val="0"/>
        <w:adjustRightInd w:val="0"/>
        <w:rPr>
          <w:b/>
        </w:rPr>
      </w:pPr>
      <w:r w:rsidRPr="004913BA">
        <w:tab/>
        <w:t xml:space="preserve">Use this instruction only in conjunction with the applicable </w:t>
      </w:r>
      <w:proofErr w:type="gramStart"/>
      <w:r w:rsidRPr="004913BA">
        <w:t>elements</w:t>
      </w:r>
      <w:proofErr w:type="gramEnd"/>
      <w:r w:rsidRPr="004913BA">
        <w:t xml:space="preserve"> instructions, Instructions 9.3–9.8, and when the plaintiff is a convicted prisoner and claims the defendants’ deliberate indifference to a substantial risk of serious harm or serious medical needs. </w:t>
      </w:r>
      <w:r w:rsidRPr="004913BA">
        <w:rPr>
          <w:b/>
        </w:rPr>
        <w:t xml:space="preserve"> </w:t>
      </w:r>
    </w:p>
    <w:p w14:paraId="1F25C178" w14:textId="77777777" w:rsidR="0043667B" w:rsidRPr="004913BA" w:rsidRDefault="0043667B" w:rsidP="0043667B">
      <w:pPr>
        <w:autoSpaceDE w:val="0"/>
        <w:autoSpaceDN w:val="0"/>
        <w:adjustRightInd w:val="0"/>
        <w:rPr>
          <w:b/>
        </w:rPr>
      </w:pPr>
    </w:p>
    <w:p w14:paraId="2E4ECE18" w14:textId="77777777" w:rsidR="006A6E36" w:rsidRDefault="0043667B" w:rsidP="0043667B">
      <w:pPr>
        <w:autoSpaceDE w:val="0"/>
        <w:autoSpaceDN w:val="0"/>
        <w:adjustRightInd w:val="0"/>
      </w:pPr>
      <w:r w:rsidRPr="004913BA">
        <w:rPr>
          <w:b/>
        </w:rPr>
        <w:tab/>
      </w:r>
      <w:r w:rsidRPr="004913BA">
        <w:t>When a convicted prisoner claims unconstitutional use of force, use Instruction 9.26 (Particular Rights—Eighth Amendment—Convicted Prisoner’s Claim of Excessive Force).</w:t>
      </w:r>
      <w:r w:rsidRPr="004913BA">
        <w:rPr>
          <w:b/>
        </w:rPr>
        <w:t xml:space="preserve"> </w:t>
      </w:r>
      <w:r w:rsidRPr="004913BA">
        <w:t xml:space="preserve">When a pretrial detainee claims unconstitutional use of force, </w:t>
      </w:r>
      <w:r w:rsidRPr="004913BA">
        <w:rPr>
          <w:i/>
        </w:rPr>
        <w:t>see</w:t>
      </w:r>
      <w:r w:rsidRPr="004913BA">
        <w:t xml:space="preserve"> Instruction 9.29 (Particular Rights—Fourteenth Amendment—Pretrial Detainee’s Claim of Excessive Force). When a pretrial detainee claims unconstitutional failure to protect, use Instruction 9.31 (Particular Rights—Fourteenth Amendment—Pretrial Detainee’s Claim of Failure to Protect).  </w:t>
      </w:r>
    </w:p>
    <w:p w14:paraId="067BDECE" w14:textId="115CC06D" w:rsidR="0043667B" w:rsidRPr="004913BA" w:rsidRDefault="0043667B" w:rsidP="0043667B">
      <w:pPr>
        <w:autoSpaceDE w:val="0"/>
        <w:autoSpaceDN w:val="0"/>
        <w:adjustRightInd w:val="0"/>
        <w:rPr>
          <w:b/>
        </w:rPr>
      </w:pPr>
      <w:r w:rsidRPr="004913BA">
        <w:t xml:space="preserve"> </w:t>
      </w:r>
    </w:p>
    <w:p w14:paraId="1AFA007C" w14:textId="77777777" w:rsidR="006A6E36" w:rsidRPr="00427C37" w:rsidRDefault="006A6E36" w:rsidP="006A6E36">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w:t>
      </w:r>
      <w:r w:rsidRPr="00427C37">
        <w:rPr>
          <w:rFonts w:cs="Times New Roman"/>
          <w:szCs w:val="24"/>
        </w:rPr>
        <w:lastRenderedPageBreak/>
        <w:t xml:space="preserve">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591F3FE1" w14:textId="77777777" w:rsidR="0043667B" w:rsidRPr="004913BA" w:rsidRDefault="0043667B" w:rsidP="0043667B">
      <w:pPr>
        <w:autoSpaceDE w:val="0"/>
        <w:autoSpaceDN w:val="0"/>
        <w:adjustRightInd w:val="0"/>
        <w:rPr>
          <w:b/>
        </w:rPr>
      </w:pPr>
    </w:p>
    <w:p w14:paraId="71629AA4" w14:textId="65AB3F66" w:rsidR="0043667B" w:rsidRPr="004913BA" w:rsidRDefault="0043667B" w:rsidP="0043667B">
      <w:pPr>
        <w:autoSpaceDE w:val="0"/>
        <w:autoSpaceDN w:val="0"/>
        <w:adjustRightInd w:val="0"/>
      </w:pPr>
      <w:r w:rsidRPr="004913BA">
        <w:tab/>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4913BA">
        <w:rPr>
          <w:i/>
        </w:rPr>
        <w:t>Farmer v. Brennan</w:t>
      </w:r>
      <w:r w:rsidRPr="004913BA">
        <w:t xml:space="preserve">, 511 U.S. 825, 832 (1994) (citing </w:t>
      </w:r>
      <w:r w:rsidRPr="004913BA">
        <w:rPr>
          <w:i/>
        </w:rPr>
        <w:t>Hudson v. Palmer</w:t>
      </w:r>
      <w:r w:rsidRPr="004913BA">
        <w:t xml:space="preserve">, 468 U.S. 517, 526-27 (1984)). An Eighth Amendment claim based on deliberate indifference must satisfy both an objective and a subjective component test. </w:t>
      </w:r>
      <w:r w:rsidRPr="004913BA">
        <w:rPr>
          <w:i/>
        </w:rPr>
        <w:t>Farmer</w:t>
      </w:r>
      <w:r w:rsidRPr="004913BA">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4913BA">
        <w:rPr>
          <w:i/>
        </w:rPr>
        <w:t>Id.</w:t>
      </w:r>
      <w:r w:rsidRPr="004913BA">
        <w:t xml:space="preserve"> at 837; </w:t>
      </w:r>
      <w:r w:rsidRPr="004913BA">
        <w:rPr>
          <w:i/>
        </w:rPr>
        <w:t>accord Clement v. Gomez</w:t>
      </w:r>
      <w:r w:rsidRPr="004913BA">
        <w:t xml:space="preserve">, 298 F.3d 898, 904 (9th Cir. 2002) (“The inmates must demonstrate that they were confined under conditions posing a risk of ‘objectively, sufficiently </w:t>
      </w:r>
      <w:proofErr w:type="spellStart"/>
      <w:r w:rsidRPr="004913BA">
        <w:t>serious’</w:t>
      </w:r>
      <w:proofErr w:type="spellEnd"/>
      <w:r w:rsidRPr="004913BA">
        <w:t xml:space="preserve">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w:t>
      </w:r>
      <w:r w:rsidRPr="00844EC5">
        <w:rPr>
          <w:rFonts w:eastAsia="Calibri" w:cs="Times New Roman"/>
        </w:rPr>
        <w:t xml:space="preserve">. . . </w:t>
      </w:r>
      <w:r w:rsidRPr="004913BA">
        <w:t xml:space="preserve"> must also draw the inference.’” </w:t>
      </w:r>
      <w:proofErr w:type="spellStart"/>
      <w:r w:rsidRPr="004913BA">
        <w:rPr>
          <w:i/>
        </w:rPr>
        <w:t>Labatad</w:t>
      </w:r>
      <w:proofErr w:type="spellEnd"/>
      <w:r w:rsidRPr="004913BA">
        <w:rPr>
          <w:i/>
        </w:rPr>
        <w:t xml:space="preserve"> v. Corr. Corp. of Am</w:t>
      </w:r>
      <w:r w:rsidRPr="004913BA">
        <w:t xml:space="preserve">., 714 F.3d 1155, 1160 (9th Cir. 2013) (quoting </w:t>
      </w:r>
      <w:r w:rsidRPr="004913BA">
        <w:rPr>
          <w:i/>
        </w:rPr>
        <w:t>Farmer</w:t>
      </w:r>
      <w:r w:rsidRPr="004913BA">
        <w:t xml:space="preserve">, 511 U.S. at 837); </w:t>
      </w:r>
      <w:r w:rsidRPr="004913BA">
        <w:rPr>
          <w:i/>
        </w:rPr>
        <w:t>Hampton v. California,</w:t>
      </w:r>
      <w:r w:rsidRPr="004913BA">
        <w:t xml:space="preserve"> 83 F.4th 754, 767 (9th Cir. 2023) (stating </w:t>
      </w:r>
      <w:r>
        <w:rPr>
          <w:rFonts w:cs="Times New Roman"/>
          <w:szCs w:val="24"/>
        </w:rPr>
        <w:t xml:space="preserve">the </w:t>
      </w:r>
      <w:r w:rsidRPr="004913BA">
        <w:t>plaintiff alleged a claim of “a conscious disregard to the health and safety” when</w:t>
      </w:r>
      <w:r>
        <w:rPr>
          <w:rFonts w:cs="Times New Roman"/>
          <w:szCs w:val="24"/>
        </w:rPr>
        <w:t xml:space="preserve"> the</w:t>
      </w:r>
      <w:r w:rsidRPr="004913BA">
        <w:t xml:space="preserve"> defendants “did not take precautions to avoid transferring COVID-positive inmates to San Quentin or to decrease the likelihood that COVID-19 would spread” once the inmates arrived).</w:t>
      </w:r>
    </w:p>
    <w:p w14:paraId="6ED379A4" w14:textId="77777777" w:rsidR="0043667B" w:rsidRPr="004913BA" w:rsidRDefault="0043667B" w:rsidP="0043667B">
      <w:pPr>
        <w:autoSpaceDE w:val="0"/>
        <w:autoSpaceDN w:val="0"/>
        <w:adjustRightInd w:val="0"/>
      </w:pPr>
    </w:p>
    <w:p w14:paraId="41EE705B" w14:textId="77777777" w:rsidR="0043667B" w:rsidRDefault="0043667B" w:rsidP="0043667B">
      <w:pPr>
        <w:autoSpaceDE w:val="0"/>
        <w:autoSpaceDN w:val="0"/>
        <w:adjustRightInd w:val="0"/>
        <w:rPr>
          <w:rFonts w:cs="Times New Roman"/>
          <w:szCs w:val="24"/>
        </w:rPr>
      </w:pPr>
      <w:r w:rsidRPr="004913BA">
        <w:tab/>
        <w:t xml:space="preserve">In </w:t>
      </w:r>
      <w:r w:rsidRPr="004913BA">
        <w:rPr>
          <w:i/>
        </w:rPr>
        <w:t>Estelle v. Gamble</w:t>
      </w:r>
      <w:r w:rsidRPr="004913BA">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4913BA">
        <w:rPr>
          <w:i/>
        </w:rPr>
        <w:t>Edmo v. Corizon, Inc</w:t>
      </w:r>
      <w:r w:rsidRPr="004913BA">
        <w:t xml:space="preserve">., 935 F.3d 757, 786 (9th Cir. 2019). Accepted standards of care and practice within the medical community are highly relevant in determining what care is medically acceptable and unacceptable. </w:t>
      </w:r>
      <w:r w:rsidRPr="004913BA">
        <w:rPr>
          <w:i/>
        </w:rPr>
        <w:t>Id.</w:t>
      </w:r>
      <w:r w:rsidRPr="004913BA">
        <w:t xml:space="preserve"> at 786 (explaining transgender prisoner established that the course of treatment chosen by the Idaho Department of Corrections and its medical provider to alleviate her gender dysphoria was medically unacceptable under the circumstances.) A serious medical need is present, when, for example, the “failure to treat a prisoner’s condition could result in further significant injury or the ‘unnecessary and wanton infliction of pain.’” </w:t>
      </w:r>
      <w:r w:rsidRPr="004913BA">
        <w:rPr>
          <w:i/>
        </w:rPr>
        <w:t>Clement</w:t>
      </w:r>
      <w:r w:rsidRPr="004913BA">
        <w:t>, 298 F.3d at 904 (citations omitted</w:t>
      </w:r>
      <w:r w:rsidRPr="004913BA">
        <w:rPr>
          <w:highlight w:val="white"/>
        </w:rPr>
        <w:t>)</w:t>
      </w:r>
      <w:r w:rsidRPr="004913BA">
        <w:t xml:space="preserve">. A serious medical need includes the “existence of an injury </w:t>
      </w:r>
      <w:r w:rsidRPr="004913BA">
        <w:lastRenderedPageBreak/>
        <w:t xml:space="preserve">that a reasonable doctor or patient would find important and worthy of comment or treatment; the presence of a medical condition that significantly affects an individual’s daily activities; or the existence of chronic and substantial pain.” </w:t>
      </w:r>
      <w:r w:rsidRPr="004913BA">
        <w:rPr>
          <w:i/>
        </w:rPr>
        <w:t xml:space="preserve">Russell v. </w:t>
      </w:r>
      <w:proofErr w:type="spellStart"/>
      <w:r w:rsidRPr="004913BA">
        <w:rPr>
          <w:i/>
        </w:rPr>
        <w:t>Lumitap</w:t>
      </w:r>
      <w:proofErr w:type="spellEnd"/>
      <w:r w:rsidRPr="004913BA">
        <w:t xml:space="preserve">, 31 F.4th 729, 739 (9th Cir. 2022) (quoting </w:t>
      </w:r>
      <w:r w:rsidRPr="004913BA">
        <w:rPr>
          <w:i/>
        </w:rPr>
        <w:t>Colwell v. Bannister</w:t>
      </w:r>
      <w:r w:rsidRPr="004913BA">
        <w:t xml:space="preserve">, 763 F.3d 1060, 1066 (9th Cir. 2014). </w:t>
      </w:r>
      <w:r w:rsidRPr="004913BA">
        <w:rPr>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4913BA">
        <w:rPr>
          <w:i/>
          <w:highlight w:val="white"/>
        </w:rPr>
        <w:t xml:space="preserve">Colwell, </w:t>
      </w:r>
      <w:r w:rsidRPr="004913BA">
        <w:rPr>
          <w:highlight w:val="white"/>
        </w:rPr>
        <w:t xml:space="preserve">763 F.3d at 1067. </w:t>
      </w:r>
    </w:p>
    <w:p w14:paraId="73591C8F" w14:textId="77777777" w:rsidR="0043667B" w:rsidRDefault="0043667B" w:rsidP="0043667B">
      <w:pPr>
        <w:autoSpaceDE w:val="0"/>
        <w:autoSpaceDN w:val="0"/>
        <w:adjustRightInd w:val="0"/>
        <w:rPr>
          <w:rFonts w:cs="Times New Roman"/>
          <w:szCs w:val="24"/>
        </w:rPr>
      </w:pPr>
    </w:p>
    <w:p w14:paraId="3CA9A16C" w14:textId="77777777" w:rsidR="0043667B" w:rsidRPr="004913BA" w:rsidRDefault="0043667B" w:rsidP="0043667B">
      <w:pPr>
        <w:autoSpaceDE w:val="0"/>
        <w:autoSpaceDN w:val="0"/>
        <w:adjustRightInd w:val="0"/>
      </w:pPr>
      <w:r w:rsidRPr="004913BA">
        <w:tab/>
        <w:t xml:space="preserve">Denying, delaying, or intentionally interfering with medical treatment can violate the constitution. </w:t>
      </w:r>
      <w:r w:rsidRPr="004913BA">
        <w:rPr>
          <w:i/>
        </w:rPr>
        <w:t>Stewart v. Aranas</w:t>
      </w:r>
      <w:r w:rsidRPr="004913BA">
        <w:t xml:space="preserve">, 32 F.4th 1192, 1195 (9th Cir. 2022) (quoting </w:t>
      </w:r>
      <w:r w:rsidRPr="004913BA">
        <w:rPr>
          <w:i/>
        </w:rPr>
        <w:t>Colwell</w:t>
      </w:r>
      <w:r w:rsidRPr="004913BA">
        <w:t xml:space="preserve">, 763 F.3d at 1066). In </w:t>
      </w:r>
      <w:r w:rsidRPr="004913BA">
        <w:rPr>
          <w:i/>
        </w:rPr>
        <w:t>Stewart</w:t>
      </w:r>
      <w:r w:rsidRPr="004913BA">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4913BA">
        <w:rPr>
          <w:i/>
        </w:rPr>
        <w:t>Stewart</w:t>
      </w:r>
      <w:r w:rsidRPr="004913BA">
        <w:t>, 32 F.4th at 1195-96 (noting that “[a]t some point ‘wait and see’ becomes deny and delay</w:t>
      </w:r>
      <w:r w:rsidRPr="00844EC5">
        <w:rPr>
          <w:rFonts w:eastAsia="Calibri" w:cs="Times New Roman"/>
        </w:rPr>
        <w:t>”)</w:t>
      </w:r>
      <w:r>
        <w:rPr>
          <w:rFonts w:eastAsia="Calibri" w:cs="Times New Roman"/>
        </w:rPr>
        <w:t>.</w:t>
      </w:r>
    </w:p>
    <w:p w14:paraId="52A26F4B" w14:textId="77777777" w:rsidR="0043667B" w:rsidRPr="004913BA" w:rsidRDefault="0043667B" w:rsidP="0043667B">
      <w:pPr>
        <w:autoSpaceDE w:val="0"/>
        <w:autoSpaceDN w:val="0"/>
        <w:adjustRightInd w:val="0"/>
      </w:pPr>
    </w:p>
    <w:p w14:paraId="3C947FE4"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Appropriate mental health care is also mandated by the Eighth Amendment. “[T]he Eighth Amendment’s prohibition against cruel and unusual punishment requires that prisons provide mental health care that meets ‘minimum constitutional requirements.’</w:t>
      </w:r>
      <w:r w:rsidRPr="004913BA">
        <w:rPr>
          <w:i/>
        </w:rPr>
        <w:t xml:space="preserve"> Disability Rights Montana</w:t>
      </w:r>
      <w:r w:rsidRPr="004913BA">
        <w:t xml:space="preserve"> </w:t>
      </w:r>
      <w:r w:rsidRPr="004913BA">
        <w:rPr>
          <w:i/>
        </w:rPr>
        <w:t>v. Batista</w:t>
      </w:r>
      <w:r w:rsidRPr="004913BA">
        <w:t xml:space="preserve">, 930 F.3d 1090, 1097 (9th Cir. 2019), </w:t>
      </w:r>
      <w:r w:rsidRPr="004913BA">
        <w:rPr>
          <w:i/>
        </w:rPr>
        <w:t>quoting Brown v. Plata</w:t>
      </w:r>
      <w:r w:rsidRPr="004913BA">
        <w:t>, 563 U.S. 493, 510 (2011).</w:t>
      </w:r>
    </w:p>
    <w:p w14:paraId="27FB1A08"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67227454"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 xml:space="preserve">Certain conditions of confinement may violate the Eighth Amendment. For example, excess noise and prison conditions may deprive inmates of “identifiable human need[s],” such as sleep. </w:t>
      </w:r>
      <w:r w:rsidRPr="004913BA">
        <w:rPr>
          <w:i/>
        </w:rPr>
        <w:t>See Wilson v. Seiter</w:t>
      </w:r>
      <w:r w:rsidRPr="004913BA">
        <w:t xml:space="preserve">, 501 U.S. 294, 304 (1991); </w:t>
      </w:r>
      <w:r w:rsidRPr="004913BA">
        <w:rPr>
          <w:i/>
        </w:rPr>
        <w:t xml:space="preserve">accord Rico v. </w:t>
      </w:r>
      <w:proofErr w:type="spellStart"/>
      <w:r w:rsidRPr="004913BA">
        <w:rPr>
          <w:i/>
        </w:rPr>
        <w:t>Ducart</w:t>
      </w:r>
      <w:proofErr w:type="spellEnd"/>
      <w:r w:rsidRPr="004913BA">
        <w:t xml:space="preserve">, 980 F.3d 1292, 1299 (9th Cir. 2020) (addressing the lawfulness of officer-created noise while conducting court-ordered suicide-prevention welfare checks in a </w:t>
      </w:r>
      <w:proofErr w:type="gramStart"/>
      <w:r w:rsidRPr="004913BA">
        <w:t>maximum security</w:t>
      </w:r>
      <w:proofErr w:type="gramEnd"/>
      <w:r w:rsidRPr="004913BA">
        <w:t xml:space="preserve"> facility). While an inmate does not have a right to a quiet environment, an inmate has a right to an environment that is “reasonably free” from constant, excessive noise caused by other inmates. </w:t>
      </w:r>
      <w:r w:rsidRPr="004913BA">
        <w:rPr>
          <w:i/>
        </w:rPr>
        <w:t>Keenan v Hall</w:t>
      </w:r>
      <w:r w:rsidRPr="004913BA">
        <w:t>, 83 F.3d 1083, 1090</w:t>
      </w:r>
      <w:r>
        <w:t>-</w:t>
      </w:r>
      <w:r w:rsidRPr="004913BA">
        <w:t xml:space="preserve">91 (9th Cir. 1996), amended by, </w:t>
      </w:r>
      <w:bookmarkStart w:id="3" w:name="_Hlk186799895"/>
      <w:r w:rsidRPr="004913BA">
        <w:t xml:space="preserve">135 F.3d 1318 </w:t>
      </w:r>
      <w:bookmarkEnd w:id="3"/>
      <w:r w:rsidRPr="004913BA">
        <w:t xml:space="preserve">(9th Cir. 1998) (holding that an inmate had stated a separate Eighth Amendment claim for being subjected to constant illumination with no legitimate penological purpose). An inmate has the right to outdoor exercise and personal hygiene. </w:t>
      </w:r>
      <w:r w:rsidRPr="004913BA">
        <w:rPr>
          <w:i/>
        </w:rPr>
        <w:t>Keenan</w:t>
      </w:r>
      <w:r w:rsidRPr="004913BA">
        <w:t>, 83 F.3d at 1089-91 (noting that “[d]</w:t>
      </w:r>
      <w:proofErr w:type="spellStart"/>
      <w:r w:rsidRPr="004913BA">
        <w:t>eprivation</w:t>
      </w:r>
      <w:proofErr w:type="spellEnd"/>
      <w:r w:rsidRPr="004913BA">
        <w:t xml:space="preserve"> of outdoor exercise violates the Eighth Amendment rights of inmates confined to continuous and long-term segregation” and that “[</w:t>
      </w:r>
      <w:proofErr w:type="spellStart"/>
      <w:r w:rsidRPr="004913BA">
        <w:t>i</w:t>
      </w:r>
      <w:proofErr w:type="spellEnd"/>
      <w:r w:rsidRPr="004913BA">
        <w:t>]</w:t>
      </w:r>
      <w:proofErr w:type="spellStart"/>
      <w:r w:rsidRPr="004913BA">
        <w:t>ndigent</w:t>
      </w:r>
      <w:proofErr w:type="spellEnd"/>
      <w:r w:rsidRPr="004913BA">
        <w:t xml:space="preserve"> inmates have the right to personal hygiene supplies such as toothbrushes and soap”); </w:t>
      </w:r>
      <w:r w:rsidRPr="004913BA">
        <w:rPr>
          <w:i/>
        </w:rPr>
        <w:t>Polanco v. Diaz,</w:t>
      </w:r>
      <w:r w:rsidRPr="004913BA">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4913BA">
        <w:rPr>
          <w:i/>
        </w:rPr>
        <w:t>see Keenan</w:t>
      </w:r>
      <w:r w:rsidRPr="004913BA">
        <w:t xml:space="preserve">, 83 F.3d at 1091), “[t]he Eighth Amendment ‘requires only that prisoners receive food that is adequate to maintain health.’” </w:t>
      </w:r>
      <w:r w:rsidRPr="004913BA">
        <w:rPr>
          <w:i/>
        </w:rPr>
        <w:t>Mendiola-Martinez v. Arpaio</w:t>
      </w:r>
      <w:r w:rsidRPr="004913BA">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4913BA">
        <w:rPr>
          <w:i/>
        </w:rPr>
        <w:t>Wilson</w:t>
      </w:r>
      <w:r w:rsidRPr="004913BA">
        <w:t>, 501 U.S. at 304-05.</w:t>
      </w:r>
    </w:p>
    <w:p w14:paraId="2FD5A909"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32C2950A"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highlight w:val="white"/>
        </w:rPr>
      </w:pPr>
      <w:r w:rsidRPr="004913BA">
        <w:tab/>
        <w:t xml:space="preserve">The Ninth Circuit rejected the argument that a plaintiff need only prove the defendant’s constructive knowledge of a substantial risk of serious harm. </w:t>
      </w:r>
      <w:r w:rsidRPr="004913BA">
        <w:rPr>
          <w:i/>
        </w:rPr>
        <w:t>Harrington v. Scribner</w:t>
      </w:r>
      <w:r w:rsidRPr="004913BA">
        <w:t xml:space="preserve">, 785 F.3d 1299, 1304 (9th Cir. 2015) (noting, however, that the “obviousness of a risk may be used to prove subjective knowledge”). With respect to claims arising under </w:t>
      </w:r>
      <w:r w:rsidRPr="004913BA">
        <w:rPr>
          <w:i/>
        </w:rPr>
        <w:t>Monell v. Department of Social Services of City of New York</w:t>
      </w:r>
      <w:r w:rsidRPr="004913BA">
        <w:t xml:space="preserve">, 436 U.S. 658 (1978), a plaintiff must show the municipality’s deliberate indifference under an “objective inquiry.” </w:t>
      </w:r>
      <w:r w:rsidRPr="004913BA">
        <w:rPr>
          <w:i/>
        </w:rPr>
        <w:t>Castro v. County of Los Angeles</w:t>
      </w:r>
      <w:r w:rsidRPr="004913BA">
        <w:t>, 833 F.3d 1060, 1076 (9th Cir. 2016) (</w:t>
      </w:r>
      <w:proofErr w:type="spellStart"/>
      <w:r w:rsidRPr="004913BA">
        <w:t>en</w:t>
      </w:r>
      <w:proofErr w:type="spellEnd"/>
      <w:r w:rsidRPr="004913BA">
        <w:t xml:space="preserve"> banc). “[T]his objective standard necessarily applied to municipalities for the practical reason that government entities, unlike individuals, do not themselves have states of mind[.]” </w:t>
      </w:r>
      <w:r w:rsidRPr="004913BA">
        <w:rPr>
          <w:i/>
        </w:rPr>
        <w:t>Id</w:t>
      </w:r>
      <w:r w:rsidRPr="004913BA">
        <w:t xml:space="preserve">.  </w:t>
      </w:r>
      <w:r w:rsidRPr="004913BA">
        <w:tab/>
      </w:r>
    </w:p>
    <w:p w14:paraId="6DDC6125"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3A87B157"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r w:rsidRPr="004913BA">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4913BA">
        <w:rPr>
          <w:i/>
        </w:rPr>
        <w:t>Peralta v. Dillard</w:t>
      </w:r>
      <w:r w:rsidRPr="004913BA">
        <w:t>, 744 F.3d 1076, 1083-84 (9th Cir. 2014) (</w:t>
      </w:r>
      <w:proofErr w:type="spellStart"/>
      <w:r w:rsidRPr="004913BA">
        <w:t>en</w:t>
      </w:r>
      <w:proofErr w:type="spellEnd"/>
      <w:r w:rsidRPr="004913BA">
        <w:t xml:space="preserve"> banc) (holding that weighing the resources available for prison dental care and the security concerns related to providing care in prison was appropriate in determining if the defendants acted with deliberate indifference).</w:t>
      </w:r>
    </w:p>
    <w:p w14:paraId="02AB3BD6" w14:textId="77777777" w:rsidR="0043667B" w:rsidRPr="004913BA"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pPr>
    </w:p>
    <w:p w14:paraId="7E23436D" w14:textId="77777777" w:rsidR="0043667B" w:rsidRPr="004913BA" w:rsidRDefault="0043667B" w:rsidP="0043667B">
      <w:pPr>
        <w:ind w:firstLine="720"/>
      </w:pPr>
      <w:r w:rsidRPr="004913BA">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4913BA">
        <w:rPr>
          <w:i/>
        </w:rPr>
        <w:t>Bell v. Wolfish</w:t>
      </w:r>
      <w:r w:rsidRPr="004913BA">
        <w:t>, 441 U.S. 520, 547 (1979). Courts “must defer to the judgment of correctional officials unless the record contains substantial evidence showing [that] their policies are an unnecessary or unjustified response to problems of jail security.”</w:t>
      </w:r>
      <w:r w:rsidRPr="00FC46FC">
        <w:rPr>
          <w:i/>
        </w:rPr>
        <w:t xml:space="preserve"> </w:t>
      </w:r>
      <w:r w:rsidRPr="004913BA">
        <w:rPr>
          <w:i/>
        </w:rPr>
        <w:t xml:space="preserve">Florence v. Bd. of Chosen Freeholders </w:t>
      </w:r>
      <w:proofErr w:type="spellStart"/>
      <w:r w:rsidRPr="004913BA">
        <w:rPr>
          <w:i/>
        </w:rPr>
        <w:t>Cnty</w:t>
      </w:r>
      <w:proofErr w:type="spellEnd"/>
      <w:r w:rsidRPr="004913BA">
        <w:rPr>
          <w:i/>
        </w:rPr>
        <w:t>. of Burlington</w:t>
      </w:r>
      <w:r w:rsidRPr="004913BA">
        <w:t xml:space="preserve">, 566 U.S. 318, 322-23 (2012). “It is well established that judges and juries must defer to prison officials’ expert judgments.” </w:t>
      </w:r>
      <w:r w:rsidRPr="004913BA">
        <w:rPr>
          <w:i/>
        </w:rPr>
        <w:t>Norwood v. Vance</w:t>
      </w:r>
      <w:r w:rsidRPr="004913BA">
        <w:t>, 591 F.3d 1062, 1066 (9th Cir. 2010).</w:t>
      </w:r>
    </w:p>
    <w:p w14:paraId="29DE9FC4" w14:textId="77777777" w:rsidR="0043667B" w:rsidRPr="004913BA" w:rsidRDefault="0043667B" w:rsidP="0043667B">
      <w:pPr>
        <w:ind w:firstLine="720"/>
      </w:pPr>
    </w:p>
    <w:p w14:paraId="5CA3F3A6" w14:textId="77777777" w:rsidR="0043667B" w:rsidRPr="004913BA" w:rsidRDefault="0043667B" w:rsidP="0043667B">
      <w:pPr>
        <w:ind w:firstLine="720"/>
      </w:pPr>
      <w:r w:rsidRPr="004913BA">
        <w:t xml:space="preserve">The Ninth Circuit has </w:t>
      </w:r>
      <w:r w:rsidRPr="00B054A4">
        <w:rPr>
          <w:szCs w:val="24"/>
        </w:rPr>
        <w:t>held</w:t>
      </w:r>
      <w:r w:rsidRPr="004913BA">
        <w:t xml:space="preserve"> that failing to give a jury deference instruction based on the general principles outlined in </w:t>
      </w:r>
      <w:r w:rsidRPr="004913BA">
        <w:rPr>
          <w:i/>
        </w:rPr>
        <w:t xml:space="preserve">Bell </w:t>
      </w:r>
      <w:r w:rsidRPr="004913BA">
        <w:t xml:space="preserve">was an error. </w:t>
      </w:r>
      <w:r w:rsidRPr="004913BA">
        <w:rPr>
          <w:i/>
        </w:rPr>
        <w:t>Norwood</w:t>
      </w:r>
      <w:r w:rsidRPr="004913BA">
        <w:t>, 591 F.3d at 1066-67</w:t>
      </w:r>
      <w:r w:rsidRPr="00B054A4">
        <w:rPr>
          <w:szCs w:val="24"/>
        </w:rPr>
        <w:t xml:space="preserve"> (“Prison officials are entitled to deference whether a prisoner challenges excessive force or conditions of confinement.”).</w:t>
      </w:r>
      <w:r w:rsidRPr="004913BA">
        <w:t xml:space="preserve"> In subsequent cases, the Ninth Circuit </w:t>
      </w:r>
      <w:r w:rsidRPr="00B054A4">
        <w:rPr>
          <w:szCs w:val="24"/>
        </w:rPr>
        <w:t>explained that a deference instruction should be given</w:t>
      </w:r>
      <w:r w:rsidRPr="004913BA">
        <w:t xml:space="preserve"> only where both of the conditions in </w:t>
      </w:r>
      <w:r w:rsidRPr="004913BA">
        <w:rPr>
          <w:i/>
        </w:rPr>
        <w:t>Bell</w:t>
      </w:r>
      <w:r w:rsidRPr="00FC46FC">
        <w:t xml:space="preserve"> </w:t>
      </w:r>
      <w:r w:rsidRPr="004913BA">
        <w:t xml:space="preserve">were present: first, the prison officials </w:t>
      </w:r>
      <w:r w:rsidRPr="00B054A4">
        <w:rPr>
          <w:szCs w:val="24"/>
        </w:rPr>
        <w:t>adopted</w:t>
      </w:r>
      <w:r w:rsidRPr="004913BA">
        <w:t xml:space="preserve"> and </w:t>
      </w:r>
      <w:r w:rsidRPr="00B054A4">
        <w:rPr>
          <w:szCs w:val="24"/>
        </w:rPr>
        <w:t>executed</w:t>
      </w:r>
      <w:r w:rsidRPr="004913BA">
        <w:t xml:space="preserve"> “policies and practices that in their judgment are needed to preserve internal order and discipline and to maintain institutional security,” </w:t>
      </w:r>
      <w:r w:rsidRPr="004913BA">
        <w:rPr>
          <w:i/>
        </w:rPr>
        <w:t>Shorter v. Baca</w:t>
      </w:r>
      <w:r w:rsidRPr="004913BA">
        <w:t xml:space="preserve">, 895 F.3d 1176, 1183 (9th Cir. 2018) (quoting </w:t>
      </w:r>
      <w:r w:rsidRPr="004913BA">
        <w:rPr>
          <w:i/>
        </w:rPr>
        <w:t>Bell</w:t>
      </w:r>
      <w:r w:rsidRPr="004913BA">
        <w:t xml:space="preserve">, 441 U.S. at 547), and second, the record did not contain “substantial evidence showing [that the prison’s] policies are an unnecessary or unjustified response to problems of jail security.” </w:t>
      </w:r>
      <w:r w:rsidRPr="004913BA">
        <w:rPr>
          <w:i/>
        </w:rPr>
        <w:t>Id.</w:t>
      </w:r>
      <w:r w:rsidRPr="00FC46FC">
        <w:t xml:space="preserve"> </w:t>
      </w:r>
      <w:r w:rsidRPr="004913BA">
        <w:t xml:space="preserve">(quoting </w:t>
      </w:r>
      <w:r w:rsidRPr="004913BA">
        <w:rPr>
          <w:i/>
        </w:rPr>
        <w:t>Florence</w:t>
      </w:r>
      <w:r w:rsidRPr="004913BA">
        <w:t xml:space="preserve">, 566 U.S. at 323); </w:t>
      </w:r>
      <w:r w:rsidRPr="004913BA">
        <w:rPr>
          <w:i/>
        </w:rPr>
        <w:t>see also Fierro v. Smith</w:t>
      </w:r>
      <w:r w:rsidRPr="004913BA">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r w:rsidRPr="00B054A4">
        <w:rPr>
          <w:szCs w:val="24"/>
        </w:rPr>
        <w:t>”).</w:t>
      </w:r>
    </w:p>
    <w:p w14:paraId="18C71228" w14:textId="77777777" w:rsidR="0043667B" w:rsidRPr="004913BA" w:rsidRDefault="0043667B" w:rsidP="0043667B">
      <w:pPr>
        <w:ind w:firstLine="720"/>
      </w:pPr>
    </w:p>
    <w:p w14:paraId="28103CC2" w14:textId="77777777" w:rsidR="0043667B" w:rsidRPr="004913BA" w:rsidRDefault="0043667B" w:rsidP="0043667B">
      <w:r w:rsidRPr="00B054A4">
        <w:rPr>
          <w:szCs w:val="24"/>
        </w:rPr>
        <w:lastRenderedPageBreak/>
        <w:tab/>
        <w:t xml:space="preserve">In light of the two </w:t>
      </w:r>
      <w:r w:rsidRPr="00B054A4">
        <w:rPr>
          <w:i/>
          <w:iCs/>
          <w:szCs w:val="24"/>
        </w:rPr>
        <w:t xml:space="preserve">Bell </w:t>
      </w:r>
      <w:r w:rsidRPr="00B054A4">
        <w:rPr>
          <w:szCs w:val="24"/>
        </w:rPr>
        <w:t xml:space="preserve">conditions, the </w:t>
      </w:r>
      <w:r w:rsidRPr="004913BA">
        <w:t xml:space="preserve">Ninth Circuit has explained the </w:t>
      </w:r>
      <w:r w:rsidRPr="00B054A4">
        <w:rPr>
          <w:szCs w:val="24"/>
        </w:rPr>
        <w:t>contours of giving a deference instruction</w:t>
      </w:r>
      <w:r w:rsidRPr="004913BA">
        <w:t xml:space="preserve"> in different scenarios. The plaintiff bears the burden of producing “substantial evidence” in the record that the </w:t>
      </w:r>
      <w:r w:rsidRPr="00B054A4">
        <w:rPr>
          <w:szCs w:val="24"/>
        </w:rPr>
        <w:t xml:space="preserve">two </w:t>
      </w:r>
      <w:r w:rsidRPr="004913BA">
        <w:t xml:space="preserve">conditions are not met. </w:t>
      </w:r>
      <w:r w:rsidRPr="004913BA">
        <w:rPr>
          <w:i/>
        </w:rPr>
        <w:t>Shorter</w:t>
      </w:r>
      <w:r w:rsidRPr="004913BA">
        <w:t xml:space="preserve">, </w:t>
      </w:r>
      <w:r w:rsidRPr="00B054A4">
        <w:rPr>
          <w:szCs w:val="24"/>
        </w:rPr>
        <w:t>895</w:t>
      </w:r>
      <w:r w:rsidRPr="004913BA">
        <w:t xml:space="preserve"> F.3d at 1183</w:t>
      </w:r>
      <w:r w:rsidRPr="00B054A4">
        <w:rPr>
          <w:szCs w:val="24"/>
        </w:rPr>
        <w:t xml:space="preserve"> (“In the absence of substantial evidence in the record to indicate that the officials have exaggerated their response to [security] considerations courts should ordinarily defer to their expert judgment in such matters” (citing </w:t>
      </w:r>
      <w:r w:rsidRPr="00B054A4">
        <w:rPr>
          <w:i/>
          <w:iCs/>
          <w:szCs w:val="24"/>
        </w:rPr>
        <w:t>Block v. Rutherford</w:t>
      </w:r>
      <w:r w:rsidRPr="00B054A4">
        <w:rPr>
          <w:szCs w:val="24"/>
        </w:rPr>
        <w:t>, 468 U.S. 576, 584-85 (1984)).</w:t>
      </w:r>
      <w:r w:rsidRPr="004913BA">
        <w:t xml:space="preserve"> If the plaintiff has failed to carry this burden, or if the parties do not dispute that both </w:t>
      </w:r>
      <w:r w:rsidRPr="00B054A4">
        <w:rPr>
          <w:i/>
          <w:iCs/>
          <w:szCs w:val="24"/>
        </w:rPr>
        <w:t xml:space="preserve">Bell </w:t>
      </w:r>
      <w:r w:rsidRPr="004913BA">
        <w:t xml:space="preserve">conditions are met, the trial court must give a jury the deference instruction. </w:t>
      </w:r>
      <w:r w:rsidRPr="004913BA">
        <w:rPr>
          <w:i/>
        </w:rPr>
        <w:t>Fierro</w:t>
      </w:r>
      <w:r w:rsidRPr="004913BA">
        <w:t xml:space="preserve">, 39 F.4th at 648; </w:t>
      </w:r>
      <w:r w:rsidRPr="004913BA">
        <w:rPr>
          <w:i/>
        </w:rPr>
        <w:t>Norwood</w:t>
      </w:r>
      <w:r w:rsidRPr="004913BA">
        <w:t xml:space="preserve">, 591 F.3d at 1067. Where the parties </w:t>
      </w:r>
      <w:r w:rsidRPr="00B054A4">
        <w:rPr>
          <w:szCs w:val="24"/>
        </w:rPr>
        <w:t>agree</w:t>
      </w:r>
      <w:r w:rsidRPr="004913BA">
        <w:t xml:space="preserve"> that </w:t>
      </w:r>
      <w:r w:rsidRPr="00B054A4">
        <w:rPr>
          <w:szCs w:val="24"/>
        </w:rPr>
        <w:t>one condition is met and one is absent,</w:t>
      </w:r>
      <w:r w:rsidRPr="004913BA">
        <w:t xml:space="preserve"> or </w:t>
      </w:r>
      <w:r w:rsidRPr="00B054A4">
        <w:rPr>
          <w:szCs w:val="24"/>
        </w:rPr>
        <w:t xml:space="preserve">that </w:t>
      </w:r>
      <w:r w:rsidRPr="004913BA">
        <w:t xml:space="preserve">both conditions are </w:t>
      </w:r>
      <w:r w:rsidRPr="00B054A4">
        <w:rPr>
          <w:szCs w:val="24"/>
        </w:rPr>
        <w:t>absent</w:t>
      </w:r>
      <w:r w:rsidRPr="004913BA">
        <w:t xml:space="preserve">, then the trial court may not give the jury </w:t>
      </w:r>
      <w:r w:rsidRPr="00B054A4">
        <w:rPr>
          <w:szCs w:val="24"/>
        </w:rPr>
        <w:t xml:space="preserve">deference </w:t>
      </w:r>
      <w:r w:rsidRPr="004913BA">
        <w:t xml:space="preserve">instruction. </w:t>
      </w:r>
      <w:r w:rsidRPr="004913BA">
        <w:rPr>
          <w:i/>
        </w:rPr>
        <w:t>Fierro</w:t>
      </w:r>
      <w:r w:rsidRPr="004913BA">
        <w:t>, 39 F.4th at 648.</w:t>
      </w:r>
    </w:p>
    <w:p w14:paraId="11F7A91C" w14:textId="77777777" w:rsidR="0043667B" w:rsidRPr="004913BA" w:rsidRDefault="0043667B" w:rsidP="0043667B"/>
    <w:p w14:paraId="651F4759" w14:textId="77777777" w:rsidR="0043667B" w:rsidRDefault="0043667B" w:rsidP="0043667B">
      <w:pPr>
        <w:rPr>
          <w:szCs w:val="24"/>
        </w:rPr>
      </w:pPr>
      <w:r w:rsidRPr="00B054A4">
        <w:rPr>
          <w:szCs w:val="24"/>
        </w:rPr>
        <w:tab/>
      </w:r>
      <w:r w:rsidRPr="00FC46FC">
        <w:t xml:space="preserve">In cases involving the denial of medical care to prisoners, which highlight </w:t>
      </w:r>
      <w:r w:rsidRPr="00FC46FC">
        <w:rPr>
          <w:i/>
        </w:rPr>
        <w:t>Bell</w:t>
      </w:r>
      <w:r w:rsidRPr="00FC46FC">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FC46FC">
        <w:rPr>
          <w:i/>
        </w:rPr>
        <w:t>Chess v. Dovey</w:t>
      </w:r>
      <w:r w:rsidRPr="00FC46FC">
        <w:t xml:space="preserve">, 790 F.3d 961, 972 (9th Cir. 2015); </w:t>
      </w:r>
      <w:r w:rsidRPr="00FC46FC">
        <w:rPr>
          <w:i/>
        </w:rPr>
        <w:t>see also</w:t>
      </w:r>
      <w:r w:rsidRPr="00FC46FC">
        <w:t xml:space="preserve"> </w:t>
      </w:r>
      <w:r w:rsidRPr="00FC46FC">
        <w:rPr>
          <w:i/>
        </w:rPr>
        <w:t>Shorter</w:t>
      </w:r>
      <w:r w:rsidRPr="00FC46FC">
        <w:t xml:space="preserve">, 895 F.3d at 1184 (holding that “the [jury deference] instruction may be given only when there is evidence that the treatment to which the plaintiff objects was provided pursuant to a security-based policy”); </w:t>
      </w:r>
      <w:r w:rsidRPr="00FC46FC">
        <w:rPr>
          <w:i/>
        </w:rPr>
        <w:t xml:space="preserve">Coston v. </w:t>
      </w:r>
      <w:proofErr w:type="spellStart"/>
      <w:r w:rsidRPr="00FC46FC">
        <w:rPr>
          <w:i/>
        </w:rPr>
        <w:t>Nangalama</w:t>
      </w:r>
      <w:proofErr w:type="spellEnd"/>
      <w:r w:rsidRPr="00FC46FC">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7C0119AA" w14:textId="77777777" w:rsidR="0043667B" w:rsidRDefault="0043667B" w:rsidP="0043667B">
      <w:pPr>
        <w:rPr>
          <w:szCs w:val="24"/>
        </w:rPr>
      </w:pPr>
    </w:p>
    <w:p w14:paraId="51428405" w14:textId="77777777" w:rsidR="0043667B" w:rsidRPr="004913BA" w:rsidRDefault="0043667B" w:rsidP="0043667B">
      <w:pPr>
        <w:ind w:firstLine="720"/>
      </w:pPr>
      <w:r w:rsidRPr="00B054A4">
        <w:rPr>
          <w:szCs w:val="24"/>
        </w:rPr>
        <w:tab/>
      </w:r>
      <w:r w:rsidRPr="004913BA">
        <w:t xml:space="preserve">In a case highlighting </w:t>
      </w:r>
      <w:r w:rsidRPr="004913BA">
        <w:rPr>
          <w:i/>
        </w:rPr>
        <w:t>Bell</w:t>
      </w:r>
      <w:r w:rsidRPr="004913BA">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B054A4">
        <w:rPr>
          <w:i/>
          <w:iCs/>
          <w:szCs w:val="24"/>
        </w:rPr>
        <w:t xml:space="preserve">Shorter, </w:t>
      </w:r>
      <w:r w:rsidRPr="00B054A4">
        <w:rPr>
          <w:szCs w:val="24"/>
        </w:rPr>
        <w:t xml:space="preserve">895 F.3d at 1184 (stating that “jail officials concede[d] that there was no legitimate penological purpose for shackling mentally ill, virtually unclothed, female pretrial detainees to their cell doors for hours at a time”).  </w:t>
      </w:r>
    </w:p>
    <w:p w14:paraId="7FCF97FE" w14:textId="77777777" w:rsidR="0043667B" w:rsidRPr="004913BA" w:rsidRDefault="0043667B" w:rsidP="0043667B"/>
    <w:p w14:paraId="5A06E5DB" w14:textId="77777777" w:rsidR="0043667B" w:rsidRDefault="0043667B" w:rsidP="0043667B">
      <w:r w:rsidRPr="00B054A4">
        <w:rPr>
          <w:szCs w:val="24"/>
        </w:rPr>
        <w:tab/>
      </w:r>
      <w:r w:rsidRPr="004913BA">
        <w:t xml:space="preserve">Finally, </w:t>
      </w:r>
      <w:r w:rsidRPr="00B054A4">
        <w:rPr>
          <w:szCs w:val="24"/>
        </w:rPr>
        <w:t xml:space="preserve">in some cases, whether or not to give deference to prison officials should be left to the jury to decide. </w:t>
      </w:r>
      <w:r w:rsidRPr="00B054A4">
        <w:rPr>
          <w:i/>
          <w:iCs/>
          <w:szCs w:val="24"/>
        </w:rPr>
        <w:t xml:space="preserve">Coston, </w:t>
      </w:r>
      <w:r w:rsidRPr="00B054A4">
        <w:rPr>
          <w:szCs w:val="24"/>
        </w:rPr>
        <w:t>13 F.4th 735. If</w:t>
      </w:r>
      <w:r w:rsidRPr="004913BA">
        <w:t xml:space="preserve">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w:t>
      </w:r>
      <w:r w:rsidRPr="00B054A4">
        <w:rPr>
          <w:szCs w:val="24"/>
        </w:rPr>
        <w:t> </w:t>
      </w:r>
      <w:r w:rsidRPr="004913BA">
        <w:t xml:space="preserve">necessary, justified, and not exaggerated,” </w:t>
      </w:r>
      <w:r w:rsidRPr="004913BA">
        <w:rPr>
          <w:i/>
        </w:rPr>
        <w:t>Coston</w:t>
      </w:r>
      <w:r w:rsidRPr="004913BA">
        <w:t xml:space="preserve">, 13 F.4th at 735, then “it might be appropriate to instruct the jury that ‘whether to give deference to prison officials [is] left to the jury to decide.’” </w:t>
      </w:r>
      <w:r w:rsidRPr="004913BA">
        <w:rPr>
          <w:i/>
        </w:rPr>
        <w:t>Fierro</w:t>
      </w:r>
      <w:r w:rsidRPr="004913BA">
        <w:t>, 39 F.4th</w:t>
      </w:r>
      <w:r w:rsidRPr="00FC46FC">
        <w:rPr>
          <w:i/>
        </w:rPr>
        <w:t xml:space="preserve"> </w:t>
      </w:r>
      <w:r w:rsidRPr="004913BA">
        <w:t xml:space="preserve">at 648-49 (citing </w:t>
      </w:r>
      <w:r w:rsidRPr="004913BA">
        <w:rPr>
          <w:i/>
        </w:rPr>
        <w:t>Coston</w:t>
      </w:r>
      <w:r w:rsidRPr="004913BA">
        <w:t>, 13 F.4th at 735).</w:t>
      </w:r>
    </w:p>
    <w:p w14:paraId="254B547D" w14:textId="77777777" w:rsidR="002E5A79" w:rsidRPr="004913BA" w:rsidRDefault="002E5A79" w:rsidP="0043667B"/>
    <w:p w14:paraId="55ACE2B1" w14:textId="77777777" w:rsidR="0043667B" w:rsidRPr="005439DC" w:rsidRDefault="0043667B" w:rsidP="0043667B">
      <w:pPr>
        <w:ind w:firstLine="720"/>
        <w:rPr>
          <w:rFonts w:cs="Times New Roman"/>
          <w:szCs w:val="24"/>
        </w:rPr>
      </w:pPr>
      <w:r w:rsidRPr="00E15F60">
        <w:rPr>
          <w:rFonts w:eastAsia="Times New Roman" w:cs="Times New Roman"/>
          <w:szCs w:val="24"/>
          <w:shd w:val="clear" w:color="auto" w:fill="FFFFFF"/>
        </w:rPr>
        <w:t>This framework also applies to pretrial detainees challenging</w:t>
      </w:r>
      <w:r>
        <w:rPr>
          <w:rFonts w:eastAsia="Times New Roman" w:cs="Times New Roman"/>
          <w:szCs w:val="24"/>
          <w:shd w:val="clear" w:color="auto" w:fill="FFFFFF"/>
        </w:rPr>
        <w:t xml:space="preserve"> use of force and other conditions of confinement. </w:t>
      </w:r>
      <w:r w:rsidRPr="000C5DB5">
        <w:rPr>
          <w:rFonts w:eastAsia="Times New Roman" w:cs="Times New Roman"/>
          <w:i/>
          <w:iCs/>
          <w:szCs w:val="24"/>
          <w:shd w:val="clear" w:color="auto" w:fill="FFFFFF"/>
        </w:rPr>
        <w:t xml:space="preserve">See </w:t>
      </w:r>
      <w:r w:rsidRPr="006175AD">
        <w:rPr>
          <w:rFonts w:eastAsia="Times New Roman" w:cs="Times New Roman"/>
          <w:i/>
          <w:iCs/>
          <w:szCs w:val="24"/>
          <w:shd w:val="clear" w:color="auto" w:fill="FFFFFF"/>
        </w:rPr>
        <w:t>Fie</w:t>
      </w:r>
      <w:r>
        <w:rPr>
          <w:rFonts w:eastAsia="Times New Roman" w:cs="Times New Roman"/>
          <w:i/>
          <w:iCs/>
          <w:szCs w:val="24"/>
          <w:shd w:val="clear" w:color="auto" w:fill="FFFFFF"/>
        </w:rPr>
        <w:t>r</w:t>
      </w:r>
      <w:r w:rsidRPr="006175AD">
        <w:rPr>
          <w:rFonts w:eastAsia="Times New Roman" w:cs="Times New Roman"/>
          <w:i/>
          <w:iCs/>
          <w:szCs w:val="24"/>
          <w:shd w:val="clear" w:color="auto" w:fill="FFFFFF"/>
        </w:rPr>
        <w:t>ro</w:t>
      </w:r>
      <w:r w:rsidRPr="006175AD">
        <w:rPr>
          <w:rFonts w:eastAsia="Times New Roman" w:cs="Times New Roman"/>
          <w:szCs w:val="24"/>
          <w:shd w:val="clear" w:color="auto" w:fill="FFFFFF"/>
        </w:rPr>
        <w:t>,</w:t>
      </w:r>
      <w:r>
        <w:rPr>
          <w:rFonts w:eastAsia="Times New Roman" w:cs="Times New Roman"/>
          <w:szCs w:val="24"/>
          <w:shd w:val="clear" w:color="auto" w:fill="FFFFFF"/>
        </w:rPr>
        <w:t xml:space="preserve"> 39 F.4</w:t>
      </w:r>
      <w:r w:rsidRPr="00012BF1">
        <w:rPr>
          <w:rFonts w:eastAsia="Times New Roman" w:cs="Times New Roman"/>
          <w:szCs w:val="24"/>
          <w:shd w:val="clear" w:color="auto" w:fill="FFFFFF"/>
        </w:rPr>
        <w:t>th</w:t>
      </w:r>
      <w:r>
        <w:rPr>
          <w:rFonts w:eastAsia="Times New Roman" w:cs="Times New Roman"/>
          <w:szCs w:val="24"/>
          <w:shd w:val="clear" w:color="auto" w:fill="FFFFFF"/>
        </w:rPr>
        <w:t xml:space="preserve"> 648. n.6 (“</w:t>
      </w:r>
      <w:r w:rsidRPr="00012BF1">
        <w:rPr>
          <w:rFonts w:eastAsia="Times New Roman" w:cs="Times New Roman"/>
          <w:szCs w:val="24"/>
          <w:shd w:val="clear" w:color="auto" w:fill="FFFFFF"/>
        </w:rPr>
        <w:t>This framework also applies to pretrial detainees challenging their conditions of confinement under the Fourteenth Amendment</w:t>
      </w:r>
      <w:r>
        <w:rPr>
          <w:rFonts w:eastAsia="Times New Roman" w:cs="Times New Roman"/>
          <w:szCs w:val="24"/>
          <w:shd w:val="clear" w:color="auto" w:fill="FFFFFF"/>
        </w:rPr>
        <w:t>.”).</w:t>
      </w:r>
      <w:r w:rsidRPr="006175AD">
        <w:rPr>
          <w:rFonts w:eastAsia="Times New Roman" w:cs="Times New Roman"/>
          <w:szCs w:val="24"/>
          <w:shd w:val="clear" w:color="auto" w:fill="FFFFFF"/>
        </w:rPr>
        <w:t xml:space="preserve"> A </w:t>
      </w:r>
      <w:r w:rsidRPr="007251BB">
        <w:rPr>
          <w:rFonts w:eastAsia="Times New Roman" w:cs="Times New Roman"/>
          <w:szCs w:val="24"/>
          <w:shd w:val="clear" w:color="auto" w:fill="FFFFFF"/>
        </w:rPr>
        <w:t xml:space="preserve">court must also account for the “legitimate interests that stem from [the </w:t>
      </w:r>
      <w:r w:rsidRPr="007251BB">
        <w:rPr>
          <w:rFonts w:eastAsia="Times New Roman" w:cs="Times New Roman"/>
          <w:szCs w:val="24"/>
          <w:shd w:val="clear" w:color="auto" w:fill="FFFFFF"/>
        </w:rPr>
        <w:lastRenderedPageBreak/>
        <w:t>government</w:t>
      </w:r>
      <w:r>
        <w:rPr>
          <w:rFonts w:eastAsia="Times New Roman" w:cs="Times New Roman"/>
          <w:szCs w:val="24"/>
          <w:shd w:val="clear" w:color="auto" w:fill="FFFFFF"/>
        </w:rPr>
        <w:t>’</w:t>
      </w:r>
      <w:r w:rsidRPr="007251BB">
        <w:rPr>
          <w:rFonts w:eastAsia="Times New Roman" w:cs="Times New Roman"/>
          <w:szCs w:val="24"/>
          <w:shd w:val="clear" w:color="auto" w:fill="FFFFFF"/>
        </w:rPr>
        <w:t xml:space="preserve">s] need to manage the facility in which the individual is detained,” appropriately deferring to “policies and practices that in </w:t>
      </w:r>
      <w:proofErr w:type="spellStart"/>
      <w:r w:rsidRPr="007251BB">
        <w:rPr>
          <w:rFonts w:eastAsia="Times New Roman" w:cs="Times New Roman"/>
          <w:szCs w:val="24"/>
          <w:shd w:val="clear" w:color="auto" w:fill="FFFFFF"/>
        </w:rPr>
        <w:t>th</w:t>
      </w:r>
      <w:proofErr w:type="spellEnd"/>
      <w:r w:rsidRPr="007251BB">
        <w:rPr>
          <w:rFonts w:eastAsia="Times New Roman" w:cs="Times New Roman"/>
          <w:szCs w:val="24"/>
          <w:shd w:val="clear" w:color="auto" w:fill="FFFFFF"/>
        </w:rPr>
        <w:t>[e] judgment” of jail officials “are needed to preserve internal order and discipline and to maintain institutional security.”</w:t>
      </w:r>
      <w:r w:rsidRPr="00A67018">
        <w:rPr>
          <w:rFonts w:eastAsia="Times New Roman" w:cs="Times New Roman"/>
          <w:i/>
          <w:iCs/>
          <w:szCs w:val="24"/>
          <w:shd w:val="clear" w:color="auto" w:fill="FFFFFF"/>
        </w:rPr>
        <w:t xml:space="preserve"> Kingsley</w:t>
      </w:r>
      <w:r>
        <w:rPr>
          <w:rFonts w:eastAsia="Times New Roman" w:cs="Times New Roman"/>
          <w:szCs w:val="24"/>
          <w:shd w:val="clear" w:color="auto" w:fill="FFFFFF"/>
        </w:rPr>
        <w:t xml:space="preserve">, </w:t>
      </w:r>
      <w:r w:rsidRPr="007251BB">
        <w:rPr>
          <w:rFonts w:eastAsia="Times New Roman" w:cs="Times New Roman"/>
          <w:szCs w:val="24"/>
          <w:shd w:val="clear" w:color="auto" w:fill="FFFFFF"/>
        </w:rPr>
        <w:t xml:space="preserve">576 U.S. </w:t>
      </w:r>
      <w:r>
        <w:rPr>
          <w:rFonts w:eastAsia="Times New Roman" w:cs="Times New Roman"/>
          <w:szCs w:val="24"/>
          <w:shd w:val="clear" w:color="auto" w:fill="FFFFFF"/>
        </w:rPr>
        <w:t>at</w:t>
      </w:r>
      <w:r w:rsidRPr="007251BB">
        <w:rPr>
          <w:rFonts w:eastAsia="Times New Roman" w:cs="Times New Roman"/>
          <w:szCs w:val="24"/>
          <w:shd w:val="clear" w:color="auto" w:fill="FFFFFF"/>
        </w:rPr>
        <w:t xml:space="preserve"> 397</w:t>
      </w:r>
      <w:r>
        <w:rPr>
          <w:rFonts w:eastAsia="Times New Roman" w:cs="Times New Roman"/>
          <w:szCs w:val="24"/>
          <w:shd w:val="clear" w:color="auto" w:fill="FFFFFF"/>
        </w:rPr>
        <w:t xml:space="preserve"> (quoting </w:t>
      </w:r>
      <w:r>
        <w:rPr>
          <w:rFonts w:eastAsia="Times New Roman" w:cs="Times New Roman"/>
          <w:i/>
          <w:iCs/>
          <w:szCs w:val="24"/>
          <w:shd w:val="clear" w:color="auto" w:fill="FFFFFF"/>
        </w:rPr>
        <w:t>Bell v. Wolfish</w:t>
      </w:r>
      <w:r>
        <w:rPr>
          <w:rFonts w:eastAsia="Times New Roman" w:cs="Times New Roman"/>
          <w:szCs w:val="24"/>
          <w:shd w:val="clear" w:color="auto" w:fill="FFFFFF"/>
        </w:rPr>
        <w:t xml:space="preserve">, 441 U.S. at 540). </w:t>
      </w:r>
      <w:r w:rsidRPr="005F79E5">
        <w:rPr>
          <w:rFonts w:eastAsia="Times New Roman" w:cs="Times New Roman"/>
          <w:i/>
          <w:iCs/>
          <w:szCs w:val="24"/>
          <w:shd w:val="clear" w:color="auto" w:fill="FFFFFF"/>
        </w:rPr>
        <w:t>See also Bell v</w:t>
      </w:r>
      <w:r>
        <w:rPr>
          <w:rFonts w:eastAsia="Times New Roman" w:cs="Times New Roman"/>
          <w:i/>
          <w:iCs/>
          <w:szCs w:val="24"/>
          <w:shd w:val="clear" w:color="auto" w:fill="FFFFFF"/>
        </w:rPr>
        <w:t xml:space="preserve">. </w:t>
      </w:r>
      <w:r w:rsidRPr="005F79E5">
        <w:rPr>
          <w:rFonts w:eastAsia="Times New Roman" w:cs="Times New Roman"/>
          <w:i/>
          <w:iCs/>
          <w:szCs w:val="24"/>
          <w:shd w:val="clear" w:color="auto" w:fill="FFFFFF"/>
        </w:rPr>
        <w:t>Williams</w:t>
      </w:r>
      <w:r w:rsidRPr="002E7A0C">
        <w:rPr>
          <w:rFonts w:eastAsia="Times New Roman" w:cs="Times New Roman"/>
          <w:szCs w:val="24"/>
          <w:shd w:val="clear" w:color="auto" w:fill="FFFFFF"/>
        </w:rPr>
        <w:t xml:space="preserve">, </w:t>
      </w:r>
      <w:r w:rsidRPr="000C01BE">
        <w:rPr>
          <w:rFonts w:eastAsia="Times New Roman" w:cs="Times New Roman"/>
          <w:szCs w:val="24"/>
          <w:shd w:val="clear" w:color="auto" w:fill="FFFFFF"/>
        </w:rPr>
        <w:t>108 F.4th 809, 828</w:t>
      </w:r>
      <w:r w:rsidRPr="002E7A0C">
        <w:rPr>
          <w:rFonts w:eastAsia="Times New Roman" w:cs="Times New Roman"/>
          <w:szCs w:val="24"/>
          <w:shd w:val="clear" w:color="auto" w:fill="FFFFFF"/>
        </w:rPr>
        <w:t xml:space="preserve"> (9th Cir</w:t>
      </w:r>
      <w:r>
        <w:rPr>
          <w:rFonts w:eastAsia="Times New Roman" w:cs="Times New Roman"/>
          <w:szCs w:val="24"/>
          <w:shd w:val="clear" w:color="auto" w:fill="FFFFFF"/>
        </w:rPr>
        <w:t xml:space="preserve">. </w:t>
      </w:r>
      <w:r w:rsidRPr="002E7A0C">
        <w:rPr>
          <w:rFonts w:eastAsia="Times New Roman" w:cs="Times New Roman"/>
          <w:szCs w:val="24"/>
          <w:shd w:val="clear" w:color="auto" w:fill="FFFFFF"/>
        </w:rPr>
        <w:t xml:space="preserve">2024) </w:t>
      </w:r>
      <w:r>
        <w:rPr>
          <w:rFonts w:eastAsia="Times New Roman" w:cs="Times New Roman"/>
          <w:szCs w:val="24"/>
          <w:shd w:val="clear" w:color="auto" w:fill="FFFFFF"/>
        </w:rPr>
        <w:t xml:space="preserve">(approving instructing the jury on </w:t>
      </w:r>
      <w:r w:rsidRPr="002E7A0C">
        <w:rPr>
          <w:rFonts w:eastAsia="Times New Roman" w:cs="Times New Roman"/>
          <w:szCs w:val="24"/>
          <w:shd w:val="clear" w:color="auto" w:fill="FFFFFF"/>
        </w:rPr>
        <w:t>deference owed to jail</w:t>
      </w:r>
      <w:r>
        <w:rPr>
          <w:rFonts w:eastAsia="Times New Roman" w:cs="Times New Roman"/>
          <w:szCs w:val="24"/>
          <w:shd w:val="clear" w:color="auto" w:fill="FFFFFF"/>
        </w:rPr>
        <w:t>’</w:t>
      </w:r>
      <w:r w:rsidRPr="002E7A0C">
        <w:rPr>
          <w:rFonts w:eastAsia="Times New Roman" w:cs="Times New Roman"/>
          <w:szCs w:val="24"/>
          <w:shd w:val="clear" w:color="auto" w:fill="FFFFFF"/>
        </w:rPr>
        <w:t>s security interests</w:t>
      </w:r>
      <w:r>
        <w:rPr>
          <w:rFonts w:eastAsia="Times New Roman" w:cs="Times New Roman"/>
          <w:szCs w:val="24"/>
          <w:shd w:val="clear" w:color="auto" w:fill="FFFFFF"/>
        </w:rPr>
        <w:t xml:space="preserve"> for pretrial detainee’s claims under the ADA and Rehabilitation Act: “</w:t>
      </w:r>
      <w:r w:rsidRPr="00D0095A">
        <w:rPr>
          <w:rFonts w:eastAsia="Times New Roman" w:cs="Times New Roman"/>
          <w:szCs w:val="24"/>
          <w:shd w:val="clear" w:color="auto" w:fill="FFFFFF"/>
        </w:rPr>
        <w:t>consider a detention facility's legitimate correctional interests, and whether there is a valid, rational connection between the action taken and the legitimate and neutral governmental interest put forward to justify it.”</w:t>
      </w:r>
      <w:r>
        <w:rPr>
          <w:rFonts w:eastAsia="Times New Roman" w:cs="Times New Roman"/>
          <w:szCs w:val="24"/>
          <w:shd w:val="clear" w:color="auto" w:fill="FFFFFF"/>
        </w:rPr>
        <w:t>).</w:t>
      </w:r>
    </w:p>
    <w:p w14:paraId="64817BDC" w14:textId="77777777" w:rsidR="0043667B" w:rsidRPr="00E15F60" w:rsidRDefault="0043667B" w:rsidP="0043667B">
      <w:pPr>
        <w:autoSpaceDE w:val="0"/>
        <w:autoSpaceDN w:val="0"/>
        <w:adjustRightInd w:val="0"/>
        <w:rPr>
          <w:rFonts w:eastAsia="Times New Roman" w:cs="Times New Roman"/>
          <w:szCs w:val="24"/>
          <w:shd w:val="clear" w:color="auto" w:fill="FFFFFF"/>
        </w:rPr>
      </w:pPr>
    </w:p>
    <w:p w14:paraId="5679A5C6" w14:textId="77777777" w:rsidR="0043667B" w:rsidRPr="0054132B"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r>
      <w:r w:rsidRPr="0054132B">
        <w:rPr>
          <w:rFonts w:cs="Times New Roman"/>
          <w:szCs w:val="24"/>
        </w:rPr>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54132B">
        <w:rPr>
          <w:rFonts w:cs="Times New Roman"/>
          <w:i/>
          <w:iCs/>
          <w:szCs w:val="24"/>
        </w:rPr>
        <w:t>See Harrington</w:t>
      </w:r>
      <w:r w:rsidRPr="0054132B">
        <w:rPr>
          <w:rFonts w:cs="Times New Roman"/>
          <w:szCs w:val="24"/>
        </w:rPr>
        <w:t>, 785 F.3d at 1306. Indeed, “[p]</w:t>
      </w:r>
      <w:proofErr w:type="spellStart"/>
      <w:r w:rsidRPr="0054132B">
        <w:rPr>
          <w:rFonts w:cs="Times New Roman"/>
          <w:szCs w:val="24"/>
        </w:rPr>
        <w:t>risoners</w:t>
      </w:r>
      <w:proofErr w:type="spellEnd"/>
      <w:r w:rsidRPr="0054132B">
        <w:rPr>
          <w:rFonts w:cs="Times New Roman"/>
          <w:szCs w:val="24"/>
        </w:rPr>
        <w:t xml:space="preserve"> are protected under the Equal Protection Clause of the Fourteenth Amendment from invidious discrimination based on race.” </w:t>
      </w:r>
      <w:r w:rsidRPr="0054132B">
        <w:rPr>
          <w:rFonts w:cs="Times New Roman"/>
          <w:i/>
          <w:iCs/>
          <w:szCs w:val="24"/>
        </w:rPr>
        <w:t>Wolff v. McDonnell</w:t>
      </w:r>
      <w:r w:rsidRPr="0054132B">
        <w:rPr>
          <w:rFonts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54132B">
        <w:rPr>
          <w:rFonts w:cs="Times New Roman"/>
          <w:i/>
          <w:iCs/>
          <w:szCs w:val="24"/>
        </w:rPr>
        <w:t xml:space="preserve"> Harrington</w:t>
      </w:r>
      <w:r w:rsidRPr="0054132B">
        <w:rPr>
          <w:rFonts w:cs="Times New Roman"/>
          <w:szCs w:val="24"/>
        </w:rPr>
        <w:t>, 785 F.3d at 1305. In this context, “[</w:t>
      </w:r>
      <w:proofErr w:type="spellStart"/>
      <w:r w:rsidRPr="0054132B">
        <w:rPr>
          <w:rFonts w:cs="Times New Roman"/>
          <w:szCs w:val="24"/>
        </w:rPr>
        <w:t>i</w:t>
      </w:r>
      <w:proofErr w:type="spellEnd"/>
      <w:r w:rsidRPr="0054132B">
        <w:rPr>
          <w:rFonts w:cs="Times New Roman"/>
          <w:szCs w:val="24"/>
        </w:rPr>
        <w:t>]</w:t>
      </w:r>
      <w:proofErr w:type="spellStart"/>
      <w:r w:rsidRPr="0054132B">
        <w:rPr>
          <w:rFonts w:cs="Times New Roman"/>
          <w:szCs w:val="24"/>
        </w:rPr>
        <w:t>ntentional</w:t>
      </w:r>
      <w:proofErr w:type="spellEnd"/>
      <w:r w:rsidRPr="0054132B">
        <w:rPr>
          <w:rFonts w:cs="Times New Roman"/>
          <w:szCs w:val="24"/>
        </w:rPr>
        <w:t xml:space="preserve"> discrimination means that a defendant acted at least in part because of the plaintiff’s race.” </w:t>
      </w:r>
      <w:r w:rsidRPr="0054132B">
        <w:rPr>
          <w:rFonts w:cs="Times New Roman"/>
          <w:i/>
          <w:iCs/>
          <w:szCs w:val="24"/>
        </w:rPr>
        <w:t>Id.</w:t>
      </w:r>
    </w:p>
    <w:p w14:paraId="13D98AA1" w14:textId="77777777" w:rsidR="0043667B" w:rsidRPr="0054132B"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BA7F2F8" w14:textId="77777777" w:rsidR="0043667B" w:rsidRPr="00A10328" w:rsidRDefault="0043667B" w:rsidP="00436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54132B">
        <w:rPr>
          <w:rFonts w:cs="Times New Roman"/>
          <w:szCs w:val="24"/>
        </w:rPr>
        <w:t xml:space="preserve">The state must show that its race-based action is “necessary to further a compelling governmental interest” and is “narrowly tailored to serve such a governmental interest.” </w:t>
      </w:r>
      <w:r w:rsidRPr="0054132B">
        <w:rPr>
          <w:rFonts w:cs="Times New Roman"/>
          <w:i/>
          <w:iCs/>
          <w:szCs w:val="24"/>
        </w:rPr>
        <w:t>Id.</w:t>
      </w:r>
      <w:r w:rsidRPr="0054132B">
        <w:rPr>
          <w:rFonts w:cs="Times New Roman"/>
          <w:szCs w:val="24"/>
        </w:rPr>
        <w:t xml:space="preserve"> “The necessities of prison security and discipline, are a compelling government interest justifying only those uses of race that are narrowly tailored to address those necessities.” </w:t>
      </w:r>
      <w:r w:rsidRPr="0054132B">
        <w:rPr>
          <w:rFonts w:cs="Times New Roman"/>
          <w:i/>
          <w:iCs/>
          <w:szCs w:val="24"/>
        </w:rPr>
        <w:t>Johnson v. California</w:t>
      </w:r>
      <w:r w:rsidRPr="0054132B">
        <w:rPr>
          <w:rFonts w:cs="Times New Roman"/>
          <w:szCs w:val="24"/>
        </w:rPr>
        <w:t xml:space="preserve">, 543 U.S. 499, 512 (2005) (internal quotation omitted); </w:t>
      </w:r>
      <w:r w:rsidRPr="0054132B">
        <w:rPr>
          <w:rFonts w:cs="Times New Roman"/>
          <w:i/>
          <w:iCs/>
          <w:szCs w:val="24"/>
        </w:rPr>
        <w:t>Harrington</w:t>
      </w:r>
      <w:r w:rsidRPr="0054132B">
        <w:rPr>
          <w:rFonts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3467950" w14:textId="77777777" w:rsidR="0043667B" w:rsidRDefault="0043667B" w:rsidP="0043667B">
      <w:pPr>
        <w:jc w:val="right"/>
        <w:rPr>
          <w:rFonts w:cs="Times New Roman"/>
          <w:i/>
          <w:iCs/>
          <w:szCs w:val="24"/>
        </w:rPr>
      </w:pPr>
    </w:p>
    <w:p w14:paraId="2D4FC971" w14:textId="37EFD727" w:rsidR="00B03D36" w:rsidRPr="0043667B" w:rsidRDefault="0043667B" w:rsidP="0043667B">
      <w:pPr>
        <w:jc w:val="right"/>
      </w:pPr>
      <w:r w:rsidRPr="00AE413F">
        <w:rPr>
          <w:rFonts w:cs="Times New Roman"/>
          <w:i/>
          <w:iCs/>
          <w:szCs w:val="24"/>
        </w:rPr>
        <w:t xml:space="preserve">Revised </w:t>
      </w:r>
      <w:r w:rsidR="006A6E36">
        <w:rPr>
          <w:rFonts w:cs="Times New Roman"/>
          <w:i/>
          <w:iCs/>
          <w:szCs w:val="24"/>
        </w:rPr>
        <w:t>June 2025</w:t>
      </w:r>
    </w:p>
    <w:sectPr w:rsidR="00B03D36" w:rsidRPr="00436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07878"/>
    <w:rsid w:val="001B2DC0"/>
    <w:rsid w:val="00277CB1"/>
    <w:rsid w:val="002E5A79"/>
    <w:rsid w:val="002F3D5D"/>
    <w:rsid w:val="00341228"/>
    <w:rsid w:val="0041448C"/>
    <w:rsid w:val="0043667B"/>
    <w:rsid w:val="004922F2"/>
    <w:rsid w:val="004A269F"/>
    <w:rsid w:val="004E5E65"/>
    <w:rsid w:val="00547BD9"/>
    <w:rsid w:val="00572F74"/>
    <w:rsid w:val="0058249A"/>
    <w:rsid w:val="00610EC8"/>
    <w:rsid w:val="00645E89"/>
    <w:rsid w:val="006A6E36"/>
    <w:rsid w:val="00922469"/>
    <w:rsid w:val="009C6D13"/>
    <w:rsid w:val="00AD0E12"/>
    <w:rsid w:val="00B03D36"/>
    <w:rsid w:val="00B83037"/>
    <w:rsid w:val="00B96321"/>
    <w:rsid w:val="00C30B63"/>
    <w:rsid w:val="00CA6337"/>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A6E36"/>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3060</Words>
  <Characters>17447</Characters>
  <Application>Microsoft Office Word</Application>
  <DocSecurity>0</DocSecurity>
  <Lines>145</Lines>
  <Paragraphs>40</Paragraphs>
  <ScaleCrop>false</ScaleCrop>
  <Company>United States Courts</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8</cp:revision>
  <dcterms:created xsi:type="dcterms:W3CDTF">2025-01-08T00:34:00Z</dcterms:created>
  <dcterms:modified xsi:type="dcterms:W3CDTF">2025-10-14T21:53:00Z</dcterms:modified>
</cp:coreProperties>
</file>