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B30D4" w14:textId="77777777" w:rsidR="00FC4ED8" w:rsidRPr="004913BA" w:rsidRDefault="00FC4ED8" w:rsidP="00FC4ED8">
      <w:pPr>
        <w:pStyle w:val="Heading1"/>
      </w:pPr>
      <w:bookmarkStart w:id="0" w:name="_Toc167357277"/>
      <w:bookmarkStart w:id="1" w:name="_Toc184822672"/>
      <w:r w:rsidRPr="004913BA">
        <w:t xml:space="preserve">9.29 Particular Rights—Fourteenth Amendment—Pretrial </w:t>
      </w:r>
      <w:r w:rsidRPr="004913BA">
        <w:br/>
        <w:t>Detainee’s Claim of Excessive Force</w:t>
      </w:r>
      <w:bookmarkEnd w:id="0"/>
      <w:bookmarkEnd w:id="1"/>
    </w:p>
    <w:p w14:paraId="1CFCFC6D" w14:textId="77777777" w:rsidR="00FC4ED8" w:rsidRPr="004913BA" w:rsidRDefault="00FC4ED8" w:rsidP="00FC4ED8"/>
    <w:p w14:paraId="306C990C" w14:textId="77777777" w:rsidR="00FC4ED8" w:rsidRPr="004913BA" w:rsidRDefault="00FC4ED8" w:rsidP="00FC4ED8">
      <w:pPr>
        <w:pStyle w:val="DoubleSpace"/>
        <w:spacing w:line="240" w:lineRule="auto"/>
        <w:ind w:firstLine="720"/>
        <w:jc w:val="left"/>
      </w:pPr>
      <w:r w:rsidRPr="004913BA">
        <w:t>As previously explained, the plaintiff has the burden to prove that the acts or failures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the defendant used excessive force against the plaintiff.</w:t>
      </w:r>
    </w:p>
    <w:p w14:paraId="513824B8" w14:textId="77777777" w:rsidR="00FC4ED8" w:rsidRPr="004913BA" w:rsidRDefault="00FC4ED8" w:rsidP="00FC4ED8">
      <w:pPr>
        <w:pStyle w:val="DoubleSpace"/>
        <w:spacing w:line="240" w:lineRule="auto"/>
        <w:ind w:firstLine="720"/>
        <w:jc w:val="left"/>
      </w:pPr>
    </w:p>
    <w:p w14:paraId="71E58BFF" w14:textId="77777777" w:rsidR="00FC4ED8" w:rsidRPr="004913BA" w:rsidRDefault="00FC4ED8" w:rsidP="00FC4ED8">
      <w:pPr>
        <w:autoSpaceDE w:val="0"/>
        <w:autoSpaceDN w:val="0"/>
        <w:adjustRightInd w:val="0"/>
      </w:pPr>
      <w:r w:rsidRPr="004913BA">
        <w:tab/>
        <w:t>Under the Fourteenth Amendment, an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0E3897B9" w14:textId="77777777" w:rsidR="00FC4ED8" w:rsidRPr="004913BA" w:rsidRDefault="00FC4ED8" w:rsidP="00FC4ED8">
      <w:pPr>
        <w:pStyle w:val="DoubleSpace"/>
        <w:spacing w:line="240" w:lineRule="auto"/>
        <w:jc w:val="left"/>
      </w:pPr>
      <w:r w:rsidRPr="004913BA">
        <w:t xml:space="preserve"> </w:t>
      </w:r>
    </w:p>
    <w:p w14:paraId="2C213ED8" w14:textId="77777777" w:rsidR="00FC4ED8" w:rsidRPr="004913BA" w:rsidRDefault="00FC4ED8" w:rsidP="00FC4ED8">
      <w:pPr>
        <w:pStyle w:val="DoubleSpace"/>
        <w:spacing w:line="240" w:lineRule="auto"/>
        <w:ind w:firstLine="720"/>
        <w:jc w:val="left"/>
      </w:pPr>
      <w:r w:rsidRPr="004913BA">
        <w:t>To prove the defendant deprived the plaintiff of this Fourteenth Amendment right, the plaintiff must prove the following elements by a preponderance of the evidence:</w:t>
      </w:r>
    </w:p>
    <w:p w14:paraId="1274A582" w14:textId="77777777" w:rsidR="00FC4ED8" w:rsidRPr="004913BA" w:rsidRDefault="00FC4ED8" w:rsidP="00FC4ED8">
      <w:pPr>
        <w:pStyle w:val="DoubleSpace"/>
        <w:spacing w:line="240" w:lineRule="auto"/>
        <w:ind w:firstLine="720"/>
        <w:jc w:val="left"/>
      </w:pPr>
    </w:p>
    <w:p w14:paraId="1FFE392E" w14:textId="77777777" w:rsidR="00FC4ED8" w:rsidRPr="004913BA" w:rsidRDefault="00FC4ED8" w:rsidP="00FC4ED8">
      <w:pPr>
        <w:pStyle w:val="DoubleSpace"/>
        <w:spacing w:line="240" w:lineRule="auto"/>
        <w:ind w:firstLine="720"/>
        <w:jc w:val="left"/>
      </w:pPr>
      <w:r w:rsidRPr="00844EC5">
        <w:rPr>
          <w:rFonts w:eastAsia="Calibri" w:cs="Times New Roman"/>
        </w:rPr>
        <w:t>First, the</w:t>
      </w:r>
      <w:r>
        <w:t xml:space="preserve"> </w:t>
      </w:r>
      <w:r w:rsidRPr="004913BA">
        <w:t xml:space="preserve">defendant purposely or knowingly used force against the </w:t>
      </w:r>
      <w:proofErr w:type="gramStart"/>
      <w:r w:rsidRPr="004913BA">
        <w:t>plaintiff;</w:t>
      </w:r>
      <w:proofErr w:type="gramEnd"/>
    </w:p>
    <w:p w14:paraId="76E46217" w14:textId="77777777" w:rsidR="00FC4ED8" w:rsidRPr="004913BA" w:rsidRDefault="00FC4ED8" w:rsidP="00FC4ED8">
      <w:pPr>
        <w:pStyle w:val="DoubleSpace"/>
        <w:spacing w:line="240" w:lineRule="auto"/>
        <w:ind w:left="1440"/>
        <w:jc w:val="left"/>
      </w:pPr>
    </w:p>
    <w:p w14:paraId="3293F807" w14:textId="77777777" w:rsidR="00FC4ED8" w:rsidRPr="004913BA" w:rsidRDefault="00FC4ED8" w:rsidP="00FC4ED8">
      <w:pPr>
        <w:pStyle w:val="DoubleSpace"/>
        <w:spacing w:line="240" w:lineRule="auto"/>
        <w:ind w:firstLine="720"/>
        <w:jc w:val="left"/>
      </w:pPr>
      <w:r w:rsidRPr="00844EC5">
        <w:rPr>
          <w:rFonts w:eastAsia="Calibri" w:cs="Times New Roman"/>
        </w:rPr>
        <w:t>Second, the</w:t>
      </w:r>
      <w:r>
        <w:t xml:space="preserve"> </w:t>
      </w:r>
      <w:r w:rsidRPr="004913BA">
        <w:t>force used against the plaintiff was objectively unreasonable; and</w:t>
      </w:r>
    </w:p>
    <w:p w14:paraId="719EFF21" w14:textId="77777777" w:rsidR="00FC4ED8" w:rsidRPr="004913BA" w:rsidRDefault="00FC4ED8" w:rsidP="00FC4ED8">
      <w:pPr>
        <w:pStyle w:val="ListParagraph"/>
      </w:pPr>
    </w:p>
    <w:p w14:paraId="7BAE85FA" w14:textId="77777777" w:rsidR="00FC4ED8" w:rsidRPr="004913BA" w:rsidRDefault="00FC4ED8" w:rsidP="00FC4ED8">
      <w:pPr>
        <w:pStyle w:val="DoubleSpace"/>
        <w:spacing w:line="240" w:lineRule="auto"/>
        <w:ind w:firstLine="720"/>
        <w:jc w:val="left"/>
      </w:pPr>
      <w:r w:rsidRPr="00844EC5">
        <w:rPr>
          <w:rFonts w:eastAsia="Calibri" w:cs="Times New Roman"/>
        </w:rPr>
        <w:t>Third, the</w:t>
      </w:r>
      <w:r>
        <w:t xml:space="preserve"> </w:t>
      </w:r>
      <w:r w:rsidRPr="004913BA">
        <w:t>acts of the defendant caused harm to the plaintiff.</w:t>
      </w:r>
    </w:p>
    <w:p w14:paraId="7156C4B9" w14:textId="77777777" w:rsidR="00FC4ED8" w:rsidRPr="004913BA" w:rsidRDefault="00FC4ED8" w:rsidP="00FC4ED8">
      <w:pPr>
        <w:pStyle w:val="ListParagraph"/>
      </w:pPr>
    </w:p>
    <w:p w14:paraId="28C5E59E" w14:textId="77777777" w:rsidR="00FC4ED8" w:rsidRPr="004913BA" w:rsidRDefault="00FC4ED8" w:rsidP="00FC4ED8">
      <w:pPr>
        <w:pStyle w:val="DoubleSpace"/>
        <w:spacing w:line="240" w:lineRule="auto"/>
        <w:ind w:firstLine="720"/>
        <w:jc w:val="left"/>
      </w:pPr>
      <w:r w:rsidRPr="004913BA">
        <w:t>In determining the objective reasonableness or unreasonableness of the force used, consider the following factors:</w:t>
      </w:r>
    </w:p>
    <w:p w14:paraId="4B06B457" w14:textId="77777777" w:rsidR="00FC4ED8" w:rsidRPr="004913BA" w:rsidRDefault="00FC4ED8" w:rsidP="00FC4ED8">
      <w:pPr>
        <w:pStyle w:val="DoubleSpace"/>
        <w:spacing w:line="240" w:lineRule="auto"/>
        <w:ind w:firstLine="720"/>
        <w:jc w:val="left"/>
      </w:pPr>
    </w:p>
    <w:p w14:paraId="5B41548E" w14:textId="77777777" w:rsidR="00FC4ED8" w:rsidRPr="004913BA" w:rsidRDefault="00FC4ED8" w:rsidP="00FC4ED8">
      <w:pPr>
        <w:pStyle w:val="DoubleSpace"/>
        <w:numPr>
          <w:ilvl w:val="0"/>
          <w:numId w:val="1"/>
        </w:numPr>
        <w:spacing w:line="240" w:lineRule="auto"/>
        <w:jc w:val="left"/>
      </w:pPr>
      <w:r w:rsidRPr="004913BA">
        <w:t xml:space="preserve">The relationship between the need for the use of force and the amount of force </w:t>
      </w:r>
      <w:proofErr w:type="gramStart"/>
      <w:r w:rsidRPr="004913BA">
        <w:t>used;</w:t>
      </w:r>
      <w:proofErr w:type="gramEnd"/>
    </w:p>
    <w:p w14:paraId="7455BB73" w14:textId="77777777" w:rsidR="00FC4ED8" w:rsidRPr="004913BA" w:rsidRDefault="00FC4ED8" w:rsidP="00FC4ED8">
      <w:pPr>
        <w:pStyle w:val="DoubleSpace"/>
        <w:spacing w:line="240" w:lineRule="auto"/>
        <w:ind w:left="1440"/>
        <w:jc w:val="left"/>
      </w:pPr>
    </w:p>
    <w:p w14:paraId="18053240" w14:textId="77777777" w:rsidR="00FC4ED8" w:rsidRPr="004913BA" w:rsidRDefault="00FC4ED8" w:rsidP="00FC4ED8">
      <w:pPr>
        <w:pStyle w:val="DoubleSpace"/>
        <w:numPr>
          <w:ilvl w:val="0"/>
          <w:numId w:val="1"/>
        </w:numPr>
        <w:spacing w:line="240" w:lineRule="auto"/>
        <w:jc w:val="left"/>
      </w:pPr>
      <w:r w:rsidRPr="004913BA">
        <w:t xml:space="preserve">The extent of the plaintiff’s </w:t>
      </w:r>
      <w:proofErr w:type="gramStart"/>
      <w:r w:rsidRPr="004913BA">
        <w:t>injury;</w:t>
      </w:r>
      <w:proofErr w:type="gramEnd"/>
    </w:p>
    <w:p w14:paraId="1A658450" w14:textId="77777777" w:rsidR="00FC4ED8" w:rsidRPr="004913BA" w:rsidRDefault="00FC4ED8" w:rsidP="00FC4ED8">
      <w:pPr>
        <w:pStyle w:val="DoubleSpace"/>
        <w:spacing w:line="240" w:lineRule="auto"/>
        <w:jc w:val="left"/>
      </w:pPr>
    </w:p>
    <w:p w14:paraId="4391BA58" w14:textId="77777777" w:rsidR="00FC4ED8" w:rsidRPr="004913BA" w:rsidRDefault="00FC4ED8" w:rsidP="00FC4ED8">
      <w:pPr>
        <w:pStyle w:val="DoubleSpace"/>
        <w:numPr>
          <w:ilvl w:val="0"/>
          <w:numId w:val="1"/>
        </w:numPr>
        <w:spacing w:line="240" w:lineRule="auto"/>
        <w:jc w:val="left"/>
      </w:pPr>
      <w:r w:rsidRPr="004913BA">
        <w:t xml:space="preserve">Any effort made by the defendant to temper or to limit the amount of </w:t>
      </w:r>
      <w:proofErr w:type="gramStart"/>
      <w:r w:rsidRPr="004913BA">
        <w:t>force;</w:t>
      </w:r>
      <w:proofErr w:type="gramEnd"/>
    </w:p>
    <w:p w14:paraId="48A68E2C" w14:textId="77777777" w:rsidR="00FC4ED8" w:rsidRPr="004913BA" w:rsidRDefault="00FC4ED8" w:rsidP="00FC4ED8">
      <w:pPr>
        <w:pStyle w:val="DoubleSpace"/>
        <w:spacing w:line="240" w:lineRule="auto"/>
        <w:jc w:val="left"/>
      </w:pPr>
    </w:p>
    <w:p w14:paraId="38A8FD69" w14:textId="77777777" w:rsidR="00FC4ED8" w:rsidRPr="004913BA" w:rsidRDefault="00FC4ED8" w:rsidP="00FC4ED8">
      <w:pPr>
        <w:pStyle w:val="DoubleSpace"/>
        <w:numPr>
          <w:ilvl w:val="0"/>
          <w:numId w:val="1"/>
        </w:numPr>
        <w:spacing w:line="240" w:lineRule="auto"/>
        <w:jc w:val="left"/>
      </w:pPr>
      <w:r w:rsidRPr="004913BA">
        <w:t xml:space="preserve">The severity of the security problem at </w:t>
      </w:r>
      <w:proofErr w:type="gramStart"/>
      <w:r w:rsidRPr="004913BA">
        <w:t>issue;</w:t>
      </w:r>
      <w:proofErr w:type="gramEnd"/>
    </w:p>
    <w:p w14:paraId="460E6D4D" w14:textId="77777777" w:rsidR="00FC4ED8" w:rsidRPr="004913BA" w:rsidRDefault="00FC4ED8" w:rsidP="00FC4ED8">
      <w:pPr>
        <w:pStyle w:val="DoubleSpace"/>
        <w:spacing w:line="240" w:lineRule="auto"/>
        <w:jc w:val="left"/>
      </w:pPr>
    </w:p>
    <w:p w14:paraId="3283F9BE" w14:textId="77777777" w:rsidR="00FC4ED8" w:rsidRPr="004913BA" w:rsidRDefault="00FC4ED8" w:rsidP="00FC4ED8">
      <w:pPr>
        <w:pStyle w:val="DoubleSpace"/>
        <w:numPr>
          <w:ilvl w:val="0"/>
          <w:numId w:val="1"/>
        </w:numPr>
        <w:spacing w:line="240" w:lineRule="auto"/>
        <w:jc w:val="left"/>
      </w:pPr>
      <w:r w:rsidRPr="004913BA">
        <w:t>The threat reasonably perceived by the defendant</w:t>
      </w:r>
      <w:r>
        <w:t>;</w:t>
      </w:r>
      <w:r w:rsidRPr="004913BA">
        <w:t xml:space="preserve"> and</w:t>
      </w:r>
    </w:p>
    <w:p w14:paraId="0C10AE8A" w14:textId="77777777" w:rsidR="00FC4ED8" w:rsidRPr="004913BA" w:rsidRDefault="00FC4ED8" w:rsidP="00FC4ED8">
      <w:pPr>
        <w:pStyle w:val="DoubleSpace"/>
        <w:spacing w:line="240" w:lineRule="auto"/>
        <w:jc w:val="left"/>
      </w:pPr>
    </w:p>
    <w:p w14:paraId="7704A6AB" w14:textId="77777777" w:rsidR="00FC4ED8" w:rsidRPr="004913BA" w:rsidRDefault="00FC4ED8" w:rsidP="00FC4ED8">
      <w:pPr>
        <w:pStyle w:val="DoubleSpace"/>
        <w:numPr>
          <w:ilvl w:val="0"/>
          <w:numId w:val="1"/>
        </w:numPr>
        <w:spacing w:line="240" w:lineRule="auto"/>
        <w:jc w:val="left"/>
      </w:pPr>
      <w:r w:rsidRPr="004913BA">
        <w:t>Whether the plaintiff was actively resisting.</w:t>
      </w:r>
    </w:p>
    <w:p w14:paraId="087AD35A" w14:textId="77777777" w:rsidR="00FC4ED8" w:rsidRPr="004913BA" w:rsidRDefault="00FC4ED8" w:rsidP="00FC4ED8"/>
    <w:p w14:paraId="6B0AE674" w14:textId="77777777" w:rsidR="00FC4ED8" w:rsidRPr="004913BA" w:rsidRDefault="00FC4ED8" w:rsidP="00FC4ED8">
      <w:r w:rsidRPr="004913BA">
        <w:tab/>
      </w:r>
    </w:p>
    <w:p w14:paraId="1C37EA47" w14:textId="77777777" w:rsidR="00FC4ED8" w:rsidRPr="004913BA" w:rsidRDefault="00FC4ED8" w:rsidP="00FC4ED8">
      <w:pPr>
        <w:autoSpaceDE w:val="0"/>
        <w:autoSpaceDN w:val="0"/>
        <w:adjustRightInd w:val="0"/>
        <w:jc w:val="center"/>
      </w:pPr>
      <w:r w:rsidRPr="004913BA">
        <w:rPr>
          <w:b/>
        </w:rPr>
        <w:t>Comment</w:t>
      </w:r>
    </w:p>
    <w:p w14:paraId="28235C45" w14:textId="77777777" w:rsidR="00FC4ED8" w:rsidRPr="004913BA" w:rsidRDefault="00FC4ED8" w:rsidP="00FC4ED8"/>
    <w:p w14:paraId="6F977890" w14:textId="77777777" w:rsidR="00FC4ED8" w:rsidRPr="004913BA" w:rsidRDefault="00FC4ED8" w:rsidP="00FC4ED8">
      <w:pPr>
        <w:autoSpaceDE w:val="0"/>
        <w:autoSpaceDN w:val="0"/>
        <w:adjustRightInd w:val="0"/>
      </w:pPr>
      <w:r w:rsidRPr="004913BA">
        <w:tab/>
        <w:t>The Fourteenth Amendment applies to excessive force claims brought by pretrial</w:t>
      </w:r>
    </w:p>
    <w:p w14:paraId="20F920AE" w14:textId="77777777" w:rsidR="00FC4ED8" w:rsidRPr="004913BA" w:rsidRDefault="00FC4ED8" w:rsidP="00FC4ED8">
      <w:pPr>
        <w:autoSpaceDE w:val="0"/>
        <w:autoSpaceDN w:val="0"/>
        <w:adjustRightInd w:val="0"/>
      </w:pPr>
      <w:r w:rsidRPr="004913BA">
        <w:t>detainees. Specifically, the Supreme Court has held, “It is clear … that the Due Process Clause</w:t>
      </w:r>
    </w:p>
    <w:p w14:paraId="10676A23" w14:textId="77777777" w:rsidR="00FC4ED8" w:rsidRPr="004913BA" w:rsidRDefault="00FC4ED8" w:rsidP="00FC4ED8">
      <w:pPr>
        <w:autoSpaceDE w:val="0"/>
        <w:autoSpaceDN w:val="0"/>
        <w:adjustRightInd w:val="0"/>
      </w:pPr>
      <w:r w:rsidRPr="004913BA">
        <w:t xml:space="preserve">protects a pretrial detainee from the use of excessive force that amounts to punishment.” </w:t>
      </w:r>
      <w:r w:rsidRPr="004913BA">
        <w:rPr>
          <w:i/>
        </w:rPr>
        <w:t>Graham v. Connor</w:t>
      </w:r>
      <w:r w:rsidRPr="004913BA">
        <w:t xml:space="preserve">, 490 U.S. 386, 395 n.10 (1989). In </w:t>
      </w:r>
      <w:r w:rsidRPr="004913BA">
        <w:rPr>
          <w:i/>
        </w:rPr>
        <w:t>Kingsley v. Hendrickson</w:t>
      </w:r>
      <w:r w:rsidRPr="004913BA">
        <w:t xml:space="preserve">, 576 U.S. 389, 395 </w:t>
      </w:r>
      <w:r w:rsidRPr="004913BA">
        <w:lastRenderedPageBreak/>
        <w:t>(2015), the Supreme Court held that to prove an excessive force claim under the Fourteenth Amendment, a pretrial detainee must show that the officers’ use of force was “objectively” unreasonable; the detainee is not required to show that the officers were “subjectively” aware that their use of force was unreasonable.</w:t>
      </w:r>
      <w:r>
        <w:rPr>
          <w:rFonts w:cs="Times New Roman"/>
          <w:szCs w:val="24"/>
        </w:rPr>
        <w:t xml:space="preserve"> </w:t>
      </w:r>
      <w:r w:rsidRPr="004913BA">
        <w:t xml:space="preserve">Claims of excessive force asserted by pretrial detainees, while governed by the Fourteenth Amendment’s Due Process Clause, are likewise analyzed under an objective reasonableness standard. </w:t>
      </w:r>
      <w:r w:rsidRPr="004913BA">
        <w:rPr>
          <w:i/>
        </w:rPr>
        <w:t>See Kingsley</w:t>
      </w:r>
      <w:r w:rsidRPr="004913BA">
        <w:t xml:space="preserve">, 576 U.S. at 395 (holding that excessive force claims asserted by pretrial detainees are governed under an objective reasonableness standard which should account for the government’s need to maintain order). “The following considerations may bear on the reasonableness (or unreasonableness) of the force used: ‘the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 </w:t>
      </w:r>
      <w:r w:rsidRPr="004913BA">
        <w:rPr>
          <w:i/>
        </w:rPr>
        <w:t>Id.</w:t>
      </w:r>
      <w:r w:rsidRPr="004913BA">
        <w:t xml:space="preserve"> at 397; </w:t>
      </w:r>
      <w:r w:rsidRPr="004913BA">
        <w:rPr>
          <w:i/>
        </w:rPr>
        <w:t>accord</w:t>
      </w:r>
      <w:r w:rsidRPr="004913BA">
        <w:t xml:space="preserve"> </w:t>
      </w:r>
      <w:r w:rsidRPr="004913BA">
        <w:rPr>
          <w:i/>
        </w:rPr>
        <w:t>Bell v. Williams</w:t>
      </w:r>
      <w:r w:rsidRPr="004913BA">
        <w:t xml:space="preserve">,108 F.4th 809, 819 (9th Cir. 2024) (citing </w:t>
      </w:r>
      <w:r w:rsidRPr="004913BA">
        <w:rPr>
          <w:i/>
        </w:rPr>
        <w:t xml:space="preserve">Kingsley </w:t>
      </w:r>
      <w:r w:rsidRPr="004913BA">
        <w:t>factors bearing on reasonableness of force used.).</w:t>
      </w:r>
    </w:p>
    <w:p w14:paraId="6A5F79A8" w14:textId="77777777" w:rsidR="00FC4ED8" w:rsidRPr="004913BA" w:rsidRDefault="00FC4ED8" w:rsidP="00FC4ED8">
      <w:pPr>
        <w:autoSpaceDE w:val="0"/>
        <w:autoSpaceDN w:val="0"/>
        <w:adjustRightInd w:val="0"/>
      </w:pPr>
    </w:p>
    <w:p w14:paraId="6BCB2408" w14:textId="77777777" w:rsidR="00FC4ED8" w:rsidRPr="004913BA" w:rsidRDefault="00FC4ED8" w:rsidP="00FC4ED8">
      <w:pPr>
        <w:ind w:firstLine="720"/>
      </w:pPr>
      <w:r w:rsidRPr="004913BA">
        <w:t xml:space="preserve">In </w:t>
      </w:r>
      <w:r w:rsidRPr="004913BA">
        <w:rPr>
          <w:i/>
        </w:rPr>
        <w:t>Hyde v. City of Willcox</w:t>
      </w:r>
      <w:r w:rsidRPr="004913BA">
        <w:t xml:space="preserve">, 23 F.4th 863 (9th Cir. 2022), the Ninth Circuit held that the use of force was constitutionally excessive when officers continued to use force after a pretrial detainee had been restrained and was not resisting, at least where the officers had sufficient time to realize that the detainee could no longer resist and did not pose a threat. </w:t>
      </w:r>
      <w:r w:rsidRPr="004913BA">
        <w:rPr>
          <w:i/>
        </w:rPr>
        <w:t xml:space="preserve">Id. </w:t>
      </w:r>
      <w:r w:rsidRPr="004913BA">
        <w:t xml:space="preserve">at 871. “The most important factor is whether the suspect posed an immediate threat.” </w:t>
      </w:r>
      <w:r w:rsidRPr="004913BA">
        <w:rPr>
          <w:i/>
        </w:rPr>
        <w:t xml:space="preserve">Id. </w:t>
      </w:r>
      <w:r w:rsidRPr="004913BA">
        <w:t xml:space="preserve">at 870(citing </w:t>
      </w:r>
      <w:r w:rsidRPr="004913BA">
        <w:rPr>
          <w:i/>
        </w:rPr>
        <w:t xml:space="preserve">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“This analysis is not static, and the reasonableness of force may change as the circumstances evolve.” </w:t>
      </w:r>
      <w:r w:rsidRPr="004913BA">
        <w:rPr>
          <w:i/>
        </w:rPr>
        <w:t>Hyde</w:t>
      </w:r>
      <w:r w:rsidRPr="004913BA">
        <w:t>, 23 F.4th</w:t>
      </w:r>
      <w:r w:rsidRPr="004913BA">
        <w:rPr>
          <w:vertAlign w:val="superscript"/>
        </w:rPr>
        <w:t xml:space="preserve"> </w:t>
      </w:r>
      <w:r w:rsidRPr="004913BA">
        <w:t xml:space="preserve">at 870 (citing </w:t>
      </w:r>
      <w:r w:rsidRPr="004913BA">
        <w:rPr>
          <w:i/>
        </w:rPr>
        <w:t xml:space="preserve">Jones v. Las Vegas Metro. Police </w:t>
      </w:r>
      <w:proofErr w:type="spellStart"/>
      <w:r w:rsidRPr="004913BA">
        <w:rPr>
          <w:i/>
        </w:rPr>
        <w:t>Dep’t</w:t>
      </w:r>
      <w:proofErr w:type="spellEnd"/>
      <w:r w:rsidRPr="004913BA">
        <w:t xml:space="preserve">, 873 F.3d 1123, 1130 (9th Cir. 2017)). Courts review these claims “from the perspective of a reasonable officer on the scene,” and </w:t>
      </w:r>
      <w:proofErr w:type="gramStart"/>
      <w:r w:rsidRPr="004913BA">
        <w:t>take into account</w:t>
      </w:r>
      <w:proofErr w:type="gramEnd"/>
      <w:r w:rsidRPr="004913BA">
        <w:t xml:space="preserve"> the particular facts and circumstances of each case. </w:t>
      </w:r>
      <w:r w:rsidRPr="004913BA">
        <w:rPr>
          <w:i/>
        </w:rPr>
        <w:t xml:space="preserve">Bell, </w:t>
      </w:r>
      <w:r w:rsidRPr="004913BA">
        <w:t xml:space="preserve">108 F.4th at 819 (quoting </w:t>
      </w:r>
      <w:proofErr w:type="spellStart"/>
      <w:r w:rsidRPr="004913BA">
        <w:rPr>
          <w:i/>
        </w:rPr>
        <w:t>Kingley</w:t>
      </w:r>
      <w:proofErr w:type="spellEnd"/>
      <w:r w:rsidRPr="004913BA">
        <w:t>, 576 U.S. at 397).</w:t>
      </w:r>
    </w:p>
    <w:p w14:paraId="6B32265D" w14:textId="77777777" w:rsidR="00FC4ED8" w:rsidRPr="004913BA" w:rsidRDefault="00FC4ED8" w:rsidP="00FC4ED8">
      <w:pPr>
        <w:ind w:firstLine="720"/>
      </w:pPr>
    </w:p>
    <w:p w14:paraId="7DF6A781" w14:textId="77777777" w:rsidR="00FC4ED8" w:rsidRPr="004913BA" w:rsidRDefault="00FC4ED8" w:rsidP="00FC4ED8">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7A850B74" w14:textId="77777777" w:rsidR="00FC4ED8" w:rsidRPr="004913BA" w:rsidRDefault="00FC4ED8" w:rsidP="00FC4ED8">
      <w:pPr>
        <w:ind w:firstLine="720"/>
      </w:pPr>
    </w:p>
    <w:p w14:paraId="5D154A43" w14:textId="77777777" w:rsidR="00FC4ED8" w:rsidRPr="004913BA" w:rsidRDefault="00FC4ED8" w:rsidP="00FC4ED8">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w:t>
      </w:r>
      <w:r w:rsidRPr="004913BA">
        <w:lastRenderedPageBreak/>
        <w:t xml:space="preserve">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14CEE68D" w14:textId="77777777" w:rsidR="00FC4ED8" w:rsidRPr="004913BA" w:rsidRDefault="00FC4ED8" w:rsidP="00FC4ED8"/>
    <w:p w14:paraId="606F6C83" w14:textId="77777777" w:rsidR="00FC4ED8" w:rsidRPr="004913BA" w:rsidRDefault="00FC4ED8" w:rsidP="00FC4ED8">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 that 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2DA2CDC2" w14:textId="77777777" w:rsidR="00FC4ED8" w:rsidRPr="004913BA" w:rsidRDefault="00FC4ED8" w:rsidP="00FC4ED8"/>
    <w:p w14:paraId="59BC6218" w14:textId="77777777" w:rsidR="00FC4ED8" w:rsidRPr="004913BA" w:rsidRDefault="00FC4ED8" w:rsidP="00FC4ED8">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B0C0BA9" w14:textId="77777777" w:rsidR="00FC4ED8" w:rsidRPr="004913BA" w:rsidRDefault="00FC4ED8" w:rsidP="00FC4ED8"/>
    <w:p w14:paraId="08281D2D" w14:textId="77777777" w:rsidR="00FC4ED8" w:rsidRPr="004913BA" w:rsidRDefault="00FC4ED8" w:rsidP="00FC4ED8">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05F40578" w14:textId="77777777" w:rsidR="00FC4ED8" w:rsidRPr="004913BA" w:rsidRDefault="00FC4ED8" w:rsidP="00FC4ED8"/>
    <w:p w14:paraId="7D826FF5" w14:textId="77777777" w:rsidR="00FC4ED8" w:rsidRDefault="00FC4ED8" w:rsidP="00FC4ED8">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w:t>
      </w:r>
      <w:r w:rsidRPr="004913BA">
        <w:lastRenderedPageBreak/>
        <w:t xml:space="preserve">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100E0005" w14:textId="77777777" w:rsidR="00FC4ED8" w:rsidRPr="004913BA" w:rsidRDefault="00FC4ED8" w:rsidP="00FC4ED8"/>
    <w:p w14:paraId="04237698" w14:textId="77777777" w:rsidR="00FC4ED8" w:rsidRPr="005439DC" w:rsidRDefault="00FC4ED8" w:rsidP="00FC4ED8">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5F89503A" w14:textId="77777777" w:rsidR="00FC4ED8" w:rsidRPr="00FC46FC" w:rsidRDefault="00FC4ED8" w:rsidP="00FC4ED8">
      <w:pPr>
        <w:autoSpaceDE w:val="0"/>
        <w:autoSpaceDN w:val="0"/>
        <w:adjustRightInd w:val="0"/>
        <w:rPr>
          <w:shd w:val="clear" w:color="auto" w:fill="FFFFFF"/>
        </w:rPr>
      </w:pPr>
    </w:p>
    <w:p w14:paraId="31D7A4F3" w14:textId="77777777" w:rsidR="00FC4ED8" w:rsidRPr="004913BA" w:rsidRDefault="00FC4ED8" w:rsidP="00FC4ED8">
      <w:pPr>
        <w:autoSpaceDE w:val="0"/>
        <w:autoSpaceDN w:val="0"/>
        <w:adjustRightInd w:val="0"/>
      </w:pPr>
      <w:r w:rsidRPr="004913BA">
        <w:tab/>
        <w:t xml:space="preserve">The Fourth Amendment may also be applicable. In </w:t>
      </w:r>
      <w:r w:rsidRPr="004913BA">
        <w:rPr>
          <w:i/>
        </w:rPr>
        <w:t>Graham v. Connor</w:t>
      </w:r>
      <w:r w:rsidRPr="004913BA">
        <w:t>, 490 U.S. 386,</w:t>
      </w:r>
    </w:p>
    <w:p w14:paraId="38DFDCFD" w14:textId="77777777" w:rsidR="00FC4ED8" w:rsidRPr="004913BA" w:rsidRDefault="00FC4ED8" w:rsidP="00FC4ED8">
      <w:pPr>
        <w:autoSpaceDE w:val="0"/>
        <w:autoSpaceDN w:val="0"/>
        <w:adjustRightInd w:val="0"/>
      </w:pPr>
      <w:r w:rsidRPr="004913BA">
        <w:t>395 n.10 (1989), the Supreme Court observed that it was an open question “whether the Fourth</w:t>
      </w:r>
    </w:p>
    <w:p w14:paraId="7F2DA029" w14:textId="77777777" w:rsidR="00FC4ED8" w:rsidRPr="004913BA" w:rsidRDefault="00FC4ED8" w:rsidP="00FC4ED8">
      <w:pPr>
        <w:autoSpaceDE w:val="0"/>
        <w:autoSpaceDN w:val="0"/>
        <w:adjustRightInd w:val="0"/>
      </w:pPr>
      <w:r w:rsidRPr="004913BA">
        <w:t>Amendment continues to provide individuals with protection against deliberate use of excessive</w:t>
      </w:r>
    </w:p>
    <w:p w14:paraId="14664553" w14:textId="77777777" w:rsidR="00FC4ED8" w:rsidRPr="004913BA" w:rsidRDefault="00FC4ED8" w:rsidP="00FC4ED8">
      <w:pPr>
        <w:autoSpaceDE w:val="0"/>
        <w:autoSpaceDN w:val="0"/>
        <w:adjustRightInd w:val="0"/>
      </w:pPr>
      <w:r w:rsidRPr="004913BA">
        <w:t>physical force beyond the point at which arrest ends and pretrial detention begins.” But with</w:t>
      </w:r>
    </w:p>
    <w:p w14:paraId="327E4184" w14:textId="77777777" w:rsidR="00FC4ED8" w:rsidRPr="004913BA" w:rsidRDefault="00FC4ED8" w:rsidP="00FC4ED8">
      <w:pPr>
        <w:autoSpaceDE w:val="0"/>
        <w:autoSpaceDN w:val="0"/>
        <w:adjustRightInd w:val="0"/>
      </w:pPr>
      <w:r w:rsidRPr="004913BA">
        <w:t>regard to pre-arraignment custody, the Ninth Circuit held that the Fourth Amendment</w:t>
      </w:r>
    </w:p>
    <w:p w14:paraId="30A43FEB" w14:textId="77777777" w:rsidR="00FC4ED8" w:rsidRPr="004913BA" w:rsidRDefault="00FC4ED8" w:rsidP="00FC4ED8">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2834E17B" w14:textId="77777777" w:rsidR="00FC4ED8" w:rsidRPr="004913BA" w:rsidRDefault="00FC4ED8" w:rsidP="00FC4ED8">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0FBAEDA0" w14:textId="77777777" w:rsidR="00FC4ED8" w:rsidRPr="004913BA" w:rsidRDefault="00FC4ED8" w:rsidP="00FC4ED8">
      <w:pPr>
        <w:autoSpaceDE w:val="0"/>
        <w:autoSpaceDN w:val="0"/>
        <w:adjustRightInd w:val="0"/>
      </w:pPr>
    </w:p>
    <w:p w14:paraId="2D4FC971" w14:textId="113AC09C" w:rsidR="00B03D36" w:rsidRPr="00EE1DCC" w:rsidRDefault="00FC4ED8" w:rsidP="00EE1DCC">
      <w:pPr>
        <w:jc w:val="right"/>
        <w:rPr>
          <w:i/>
          <w:iCs/>
        </w:rPr>
      </w:pPr>
      <w:r w:rsidRPr="00EE1DCC">
        <w:rPr>
          <w:i/>
          <w:iCs/>
        </w:rPr>
        <w:t>Revised November 2024</w:t>
      </w:r>
    </w:p>
    <w:sectPr w:rsidR="00B03D36" w:rsidRPr="00EE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433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02D8"/>
    <w:rsid w:val="001B2DC0"/>
    <w:rsid w:val="00277CB1"/>
    <w:rsid w:val="002F3D5D"/>
    <w:rsid w:val="00341228"/>
    <w:rsid w:val="0043667B"/>
    <w:rsid w:val="004A269F"/>
    <w:rsid w:val="004E5E65"/>
    <w:rsid w:val="00547BD9"/>
    <w:rsid w:val="00572F74"/>
    <w:rsid w:val="0058249A"/>
    <w:rsid w:val="00610EC8"/>
    <w:rsid w:val="00645E89"/>
    <w:rsid w:val="00922469"/>
    <w:rsid w:val="00AD0E12"/>
    <w:rsid w:val="00B03D36"/>
    <w:rsid w:val="00CA6337"/>
    <w:rsid w:val="00DA6AD6"/>
    <w:rsid w:val="00DC5CFB"/>
    <w:rsid w:val="00E62DEA"/>
    <w:rsid w:val="00EE1DCC"/>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1804</Words>
  <Characters>10284</Characters>
  <Application>Microsoft Office Word</Application>
  <DocSecurity>0</DocSecurity>
  <Lines>85</Lines>
  <Paragraphs>24</Paragraphs>
  <ScaleCrop>false</ScaleCrop>
  <Company>United States Courts</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2025-01-08T00:36:00Z</dcterms:created>
  <dcterms:modified xsi:type="dcterms:W3CDTF">2025-01-16T02:57:00Z</dcterms:modified>
</cp:coreProperties>
</file>