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8C9F" w14:textId="15578215" w:rsidR="00A876DE" w:rsidRPr="00A876DE" w:rsidRDefault="00A876DE" w:rsidP="00A876DE">
      <w:pPr>
        <w:spacing w:after="0" w:line="240" w:lineRule="auto"/>
        <w:jc w:val="center"/>
        <w:rPr>
          <w:rFonts w:ascii="Times New Roman" w:hAnsi="Times New Roman" w:cs="Times New Roman"/>
          <w:b/>
          <w:bCs/>
          <w:sz w:val="24"/>
          <w:szCs w:val="24"/>
        </w:rPr>
      </w:pPr>
      <w:r w:rsidRPr="00A876DE">
        <w:rPr>
          <w:rFonts w:ascii="Times New Roman" w:hAnsi="Times New Roman" w:cs="Times New Roman"/>
          <w:b/>
          <w:bCs/>
          <w:sz w:val="24"/>
          <w:szCs w:val="24"/>
        </w:rPr>
        <w:t>9.2 Causation</w:t>
      </w:r>
    </w:p>
    <w:p w14:paraId="592620BE" w14:textId="77777777" w:rsidR="00A876DE" w:rsidRPr="00A876DE" w:rsidRDefault="00A876DE" w:rsidP="00A876DE">
      <w:pPr>
        <w:spacing w:after="0" w:line="240" w:lineRule="auto"/>
        <w:jc w:val="center"/>
        <w:rPr>
          <w:rFonts w:ascii="Times New Roman" w:hAnsi="Times New Roman" w:cs="Times New Roman"/>
          <w:sz w:val="24"/>
          <w:szCs w:val="24"/>
        </w:rPr>
      </w:pPr>
    </w:p>
    <w:p w14:paraId="32C89C2F" w14:textId="26C2ECF2" w:rsidR="00A876DE" w:rsidRPr="00A876DE" w:rsidRDefault="00A876DE" w:rsidP="00A876DE">
      <w:pPr>
        <w:spacing w:after="0" w:line="240" w:lineRule="auto"/>
        <w:jc w:val="center"/>
        <w:rPr>
          <w:rFonts w:ascii="Times New Roman" w:hAnsi="Times New Roman" w:cs="Times New Roman"/>
          <w:b/>
          <w:bCs/>
          <w:sz w:val="24"/>
          <w:szCs w:val="24"/>
        </w:rPr>
      </w:pPr>
      <w:r w:rsidRPr="00A876DE">
        <w:rPr>
          <w:rFonts w:ascii="Times New Roman" w:hAnsi="Times New Roman" w:cs="Times New Roman"/>
          <w:b/>
          <w:bCs/>
          <w:sz w:val="24"/>
          <w:szCs w:val="24"/>
        </w:rPr>
        <w:t>Comment</w:t>
      </w:r>
    </w:p>
    <w:p w14:paraId="1F08C42D" w14:textId="77777777" w:rsidR="00A876DE" w:rsidRPr="00A876DE" w:rsidRDefault="00A876DE" w:rsidP="00A876DE">
      <w:pPr>
        <w:spacing w:after="0" w:line="240" w:lineRule="auto"/>
        <w:jc w:val="center"/>
        <w:rPr>
          <w:rFonts w:ascii="Times New Roman" w:hAnsi="Times New Roman" w:cs="Times New Roman"/>
          <w:sz w:val="24"/>
          <w:szCs w:val="24"/>
        </w:rPr>
      </w:pPr>
    </w:p>
    <w:p w14:paraId="551C8A9E" w14:textId="77777777" w:rsidR="00A876DE" w:rsidRDefault="00A876DE" w:rsidP="00A876DE">
      <w:pPr>
        <w:spacing w:after="0" w:line="240" w:lineRule="auto"/>
        <w:jc w:val="center"/>
        <w:rPr>
          <w:rFonts w:ascii="Times New Roman" w:hAnsi="Times New Roman" w:cs="Times New Roman"/>
          <w:b/>
          <w:bCs/>
          <w:sz w:val="24"/>
          <w:szCs w:val="24"/>
        </w:rPr>
      </w:pPr>
      <w:r w:rsidRPr="00A876DE">
        <w:rPr>
          <w:rFonts w:ascii="Times New Roman" w:hAnsi="Times New Roman" w:cs="Times New Roman"/>
          <w:b/>
          <w:bCs/>
          <w:sz w:val="24"/>
          <w:szCs w:val="24"/>
        </w:rPr>
        <w:t>General Principles</w:t>
      </w:r>
    </w:p>
    <w:p w14:paraId="0759B7F0" w14:textId="77777777" w:rsidR="001915C5" w:rsidRPr="00A876DE" w:rsidRDefault="001915C5" w:rsidP="00A876DE">
      <w:pPr>
        <w:spacing w:after="0" w:line="240" w:lineRule="auto"/>
        <w:jc w:val="center"/>
        <w:rPr>
          <w:rFonts w:ascii="Times New Roman" w:hAnsi="Times New Roman" w:cs="Times New Roman"/>
          <w:sz w:val="24"/>
          <w:szCs w:val="24"/>
        </w:rPr>
      </w:pPr>
    </w:p>
    <w:p w14:paraId="42FEBD8B" w14:textId="694F9644" w:rsidR="00A876DE" w:rsidRPr="00356C38" w:rsidRDefault="00A876DE" w:rsidP="00A876DE">
      <w:pPr>
        <w:spacing w:after="0" w:line="240" w:lineRule="auto"/>
        <w:ind w:firstLine="720"/>
        <w:jc w:val="both"/>
        <w:rPr>
          <w:rFonts w:ascii="Times New Roman" w:hAnsi="Times New Roman" w:cs="Times New Roman"/>
          <w:sz w:val="24"/>
          <w:szCs w:val="24"/>
        </w:rPr>
      </w:pPr>
      <w:r w:rsidRPr="00A876DE">
        <w:rPr>
          <w:rFonts w:ascii="Times New Roman" w:hAnsi="Times New Roman" w:cs="Times New Roman"/>
          <w:sz w:val="24"/>
          <w:szCs w:val="24"/>
        </w:rPr>
        <w:t xml:space="preserve">“In a § 1983 action, the plaintiff must also demonstrate that the defendant’s conduct was the actionable cause of the claimed injury.” </w:t>
      </w:r>
      <w:r w:rsidRPr="00356C38">
        <w:rPr>
          <w:rFonts w:ascii="Times New Roman" w:hAnsi="Times New Roman" w:cs="Times New Roman"/>
          <w:sz w:val="24"/>
          <w:szCs w:val="24"/>
        </w:rPr>
        <w:t xml:space="preserve"> </w:t>
      </w:r>
      <w:proofErr w:type="spellStart"/>
      <w:r w:rsidRPr="00356C38">
        <w:rPr>
          <w:rFonts w:ascii="Times New Roman" w:hAnsi="Times New Roman" w:cs="Times New Roman"/>
          <w:i/>
          <w:iCs/>
          <w:sz w:val="24"/>
          <w:szCs w:val="24"/>
        </w:rPr>
        <w:t>Bearchild</w:t>
      </w:r>
      <w:proofErr w:type="spellEnd"/>
      <w:r w:rsidRPr="00356C38">
        <w:rPr>
          <w:rFonts w:ascii="Times New Roman" w:hAnsi="Times New Roman" w:cs="Times New Roman"/>
          <w:i/>
          <w:iCs/>
          <w:sz w:val="24"/>
          <w:szCs w:val="24"/>
        </w:rPr>
        <w:t xml:space="preserve"> v. Cobban</w:t>
      </w:r>
      <w:r w:rsidRPr="00356C38">
        <w:rPr>
          <w:rFonts w:ascii="Times New Roman" w:hAnsi="Times New Roman" w:cs="Times New Roman"/>
          <w:sz w:val="24"/>
          <w:szCs w:val="24"/>
        </w:rPr>
        <w:t>, 947 F.3d 1130, 1150 (9th Cir. 2020) (quoting</w:t>
      </w:r>
      <w:r w:rsidRPr="00A876DE">
        <w:rPr>
          <w:rFonts w:ascii="Times New Roman" w:hAnsi="Times New Roman" w:cs="Times New Roman"/>
          <w:color w:val="FF0000"/>
          <w:sz w:val="24"/>
          <w:szCs w:val="24"/>
        </w:rPr>
        <w:t xml:space="preserve"> </w:t>
      </w:r>
      <w:r w:rsidRPr="00A876DE">
        <w:rPr>
          <w:rFonts w:ascii="Times New Roman" w:hAnsi="Times New Roman" w:cs="Times New Roman"/>
          <w:i/>
          <w:iCs/>
          <w:sz w:val="24"/>
          <w:szCs w:val="24"/>
        </w:rPr>
        <w:t xml:space="preserve">Harper v. City of </w:t>
      </w:r>
      <w:r w:rsidRPr="00A876DE">
        <w:rPr>
          <w:rFonts w:ascii="Times New Roman" w:hAnsi="Times New Roman" w:cs="Times New Roman"/>
          <w:i/>
          <w:iCs/>
          <w:color w:val="000000" w:themeColor="text1"/>
          <w:sz w:val="24"/>
          <w:szCs w:val="24"/>
        </w:rPr>
        <w:t>Los Angeles</w:t>
      </w:r>
      <w:r w:rsidRPr="00A876DE">
        <w:rPr>
          <w:rFonts w:ascii="Times New Roman" w:hAnsi="Times New Roman" w:cs="Times New Roman"/>
          <w:sz w:val="24"/>
          <w:szCs w:val="24"/>
        </w:rPr>
        <w:t>, 533 F.3d 1010, 1026 (9th Cir. 2008)</w:t>
      </w:r>
      <w:r w:rsidRPr="00356C38">
        <w:rPr>
          <w:rFonts w:ascii="Times New Roman" w:hAnsi="Times New Roman" w:cs="Times New Roman"/>
          <w:sz w:val="24"/>
          <w:szCs w:val="24"/>
        </w:rPr>
        <w:t>).  “To meet this causation requirement, the plaintiff must establish both causation-in-fact and proximate causation.”</w:t>
      </w:r>
      <w:r w:rsidRPr="00356C38">
        <w:rPr>
          <w:rFonts w:ascii="Times New Roman" w:hAnsi="Times New Roman" w:cs="Times New Roman"/>
          <w:i/>
          <w:iCs/>
          <w:sz w:val="24"/>
          <w:szCs w:val="24"/>
        </w:rPr>
        <w:t xml:space="preserve">  Id</w:t>
      </w:r>
      <w:r w:rsidRPr="00356C38">
        <w:rPr>
          <w:rFonts w:ascii="Times New Roman" w:hAnsi="Times New Roman" w:cs="Times New Roman"/>
          <w:sz w:val="24"/>
          <w:szCs w:val="24"/>
        </w:rPr>
        <w:t xml:space="preserve">.  A defendant’s conduct is an “actual cause,” or “cause-in-fact,” of a plaintiff’s injury only if the injury would not have occurred but for that conduct.  </w:t>
      </w:r>
      <w:r w:rsidRPr="00356C38">
        <w:rPr>
          <w:rFonts w:ascii="Times New Roman" w:hAnsi="Times New Roman" w:cs="Times New Roman"/>
          <w:i/>
          <w:iCs/>
          <w:sz w:val="24"/>
          <w:szCs w:val="24"/>
        </w:rPr>
        <w:t>Chaudhry v. Aragon</w:t>
      </w:r>
      <w:r w:rsidRPr="00356C38">
        <w:rPr>
          <w:rFonts w:ascii="Times New Roman" w:hAnsi="Times New Roman" w:cs="Times New Roman"/>
          <w:sz w:val="24"/>
          <w:szCs w:val="24"/>
        </w:rPr>
        <w:t xml:space="preserve">, 68 F.4th 1161, 1170 n.11 (9th Cir. 2023).  For a general discussion of “but for causation” generally, see Civil Instruction 10.3 (Civil Rights—Title VII—Disparate Treatment— “Because of” Defined).  </w:t>
      </w:r>
    </w:p>
    <w:p w14:paraId="41BA57C9" w14:textId="77777777" w:rsidR="00A876DE" w:rsidRPr="000A255E" w:rsidRDefault="00A876DE" w:rsidP="00A876DE">
      <w:pPr>
        <w:spacing w:after="0" w:line="240" w:lineRule="auto"/>
        <w:ind w:firstLine="720"/>
        <w:jc w:val="both"/>
        <w:rPr>
          <w:rFonts w:ascii="Times New Roman" w:hAnsi="Times New Roman" w:cs="Times New Roman"/>
          <w:sz w:val="24"/>
          <w:szCs w:val="24"/>
        </w:rPr>
      </w:pPr>
    </w:p>
    <w:p w14:paraId="706E18BD" w14:textId="66AB33D1" w:rsidR="00A876DE" w:rsidRPr="000A255E" w:rsidRDefault="00A876DE" w:rsidP="00356C38">
      <w:pPr>
        <w:spacing w:after="0" w:line="240" w:lineRule="auto"/>
        <w:ind w:firstLine="720"/>
        <w:jc w:val="both"/>
        <w:rPr>
          <w:rFonts w:ascii="Times New Roman" w:hAnsi="Times New Roman" w:cs="Times New Roman"/>
          <w:strike/>
          <w:sz w:val="24"/>
          <w:szCs w:val="24"/>
        </w:rPr>
      </w:pPr>
      <w:r w:rsidRPr="000A255E">
        <w:rPr>
          <w:rFonts w:ascii="Times New Roman" w:hAnsi="Times New Roman" w:cs="Times New Roman"/>
          <w:sz w:val="24"/>
          <w:szCs w:val="24"/>
        </w:rPr>
        <w:t xml:space="preserve">“A defendant’s conduct is a ‘proximate cause’ of a plaintiff’s injury if ‘it was not just any cause, but one with a sufficient connection to the result.’”  </w:t>
      </w:r>
      <w:r w:rsidRPr="000A255E">
        <w:rPr>
          <w:rFonts w:ascii="Times New Roman" w:hAnsi="Times New Roman" w:cs="Times New Roman"/>
          <w:i/>
          <w:iCs/>
          <w:sz w:val="24"/>
          <w:szCs w:val="24"/>
        </w:rPr>
        <w:t>Chaudhry</w:t>
      </w:r>
      <w:r w:rsidRPr="000A255E">
        <w:rPr>
          <w:rFonts w:ascii="Times New Roman" w:hAnsi="Times New Roman" w:cs="Times New Roman"/>
          <w:sz w:val="24"/>
          <w:szCs w:val="24"/>
        </w:rPr>
        <w:t xml:space="preserve">, 68 F.4th at 1170 n.12 (quoting </w:t>
      </w:r>
      <w:r w:rsidRPr="000A255E">
        <w:rPr>
          <w:rFonts w:ascii="Times New Roman" w:hAnsi="Times New Roman" w:cs="Times New Roman"/>
          <w:i/>
          <w:iCs/>
          <w:sz w:val="24"/>
          <w:szCs w:val="24"/>
        </w:rPr>
        <w:t>Paroline v. United States</w:t>
      </w:r>
      <w:r w:rsidRPr="000A255E">
        <w:rPr>
          <w:rFonts w:ascii="Times New Roman" w:hAnsi="Times New Roman" w:cs="Times New Roman"/>
          <w:sz w:val="24"/>
          <w:szCs w:val="24"/>
        </w:rPr>
        <w:t>, 572 U.S. 434, 444 (2014)).</w:t>
      </w:r>
      <w:r w:rsidR="00621EDF" w:rsidRPr="000A255E">
        <w:rPr>
          <w:rFonts w:ascii="Times New Roman" w:hAnsi="Times New Roman" w:cs="Times New Roman"/>
          <w:sz w:val="24"/>
          <w:szCs w:val="24"/>
        </w:rPr>
        <w:t xml:space="preserve"> </w:t>
      </w:r>
      <w:r w:rsidRPr="000A255E">
        <w:rPr>
          <w:rFonts w:ascii="Times New Roman" w:hAnsi="Times New Roman" w:cs="Times New Roman"/>
          <w:sz w:val="24"/>
          <w:szCs w:val="24"/>
        </w:rPr>
        <w:t xml:space="preserve">“‘Proximate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0A255E">
        <w:rPr>
          <w:rFonts w:ascii="Times New Roman" w:hAnsi="Times New Roman" w:cs="Times New Roman"/>
          <w:i/>
          <w:iCs/>
          <w:sz w:val="24"/>
          <w:szCs w:val="24"/>
        </w:rPr>
        <w:t xml:space="preserve">Id. </w:t>
      </w:r>
      <w:r w:rsidRPr="000A255E">
        <w:rPr>
          <w:rFonts w:ascii="Times New Roman" w:hAnsi="Times New Roman" w:cs="Times New Roman"/>
          <w:sz w:val="24"/>
          <w:szCs w:val="24"/>
        </w:rPr>
        <w:t xml:space="preserve">(quoting </w:t>
      </w:r>
      <w:r w:rsidRPr="000A255E">
        <w:rPr>
          <w:rFonts w:ascii="Times New Roman" w:hAnsi="Times New Roman" w:cs="Times New Roman"/>
          <w:i/>
          <w:iCs/>
          <w:sz w:val="24"/>
          <w:szCs w:val="24"/>
        </w:rPr>
        <w:t>Paroline</w:t>
      </w:r>
      <w:r w:rsidRPr="000A255E">
        <w:rPr>
          <w:rFonts w:ascii="Times New Roman" w:hAnsi="Times New Roman" w:cs="Times New Roman"/>
          <w:sz w:val="24"/>
          <w:szCs w:val="24"/>
        </w:rPr>
        <w:t>, 572 U.S. at 445)</w:t>
      </w:r>
    </w:p>
    <w:p w14:paraId="5A89EF9C" w14:textId="77777777" w:rsidR="00A876DE" w:rsidRPr="000A255E" w:rsidRDefault="00A876DE" w:rsidP="00A876DE">
      <w:pPr>
        <w:spacing w:after="0" w:line="240" w:lineRule="auto"/>
        <w:ind w:firstLine="720"/>
        <w:jc w:val="both"/>
        <w:rPr>
          <w:rFonts w:ascii="Times New Roman" w:hAnsi="Times New Roman" w:cs="Times New Roman"/>
          <w:strike/>
          <w:sz w:val="24"/>
          <w:szCs w:val="24"/>
        </w:rPr>
      </w:pPr>
    </w:p>
    <w:p w14:paraId="4AB8017F" w14:textId="0CA30B3C" w:rsidR="00A876DE" w:rsidRPr="000A255E" w:rsidRDefault="00A876DE" w:rsidP="00A876DE">
      <w:pPr>
        <w:spacing w:after="0" w:line="240" w:lineRule="auto"/>
        <w:ind w:firstLine="720"/>
        <w:jc w:val="both"/>
        <w:rPr>
          <w:rFonts w:ascii="Times New Roman" w:hAnsi="Times New Roman" w:cs="Times New Roman"/>
          <w:sz w:val="24"/>
          <w:szCs w:val="24"/>
        </w:rPr>
      </w:pPr>
      <w:r w:rsidRPr="000A255E">
        <w:rPr>
          <w:rFonts w:ascii="Times New Roman" w:hAnsi="Times New Roman" w:cs="Times New Roman"/>
          <w:sz w:val="24"/>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0A255E">
        <w:rPr>
          <w:rFonts w:ascii="Times New Roman" w:hAnsi="Times New Roman" w:cs="Times New Roman"/>
          <w:i/>
          <w:iCs/>
          <w:sz w:val="24"/>
          <w:szCs w:val="24"/>
        </w:rPr>
        <w:t xml:space="preserve">Lacey v. Maricopa </w:t>
      </w:r>
      <w:proofErr w:type="spellStart"/>
      <w:r w:rsidRPr="000A255E">
        <w:rPr>
          <w:rFonts w:ascii="Times New Roman" w:hAnsi="Times New Roman" w:cs="Times New Roman"/>
          <w:i/>
          <w:iCs/>
          <w:sz w:val="24"/>
          <w:szCs w:val="24"/>
        </w:rPr>
        <w:t>Cnty</w:t>
      </w:r>
      <w:proofErr w:type="spellEnd"/>
      <w:r w:rsidRPr="000A255E">
        <w:rPr>
          <w:rFonts w:ascii="Times New Roman" w:hAnsi="Times New Roman" w:cs="Times New Roman"/>
          <w:i/>
          <w:iCs/>
          <w:sz w:val="24"/>
          <w:szCs w:val="24"/>
        </w:rPr>
        <w:t>.</w:t>
      </w:r>
      <w:r w:rsidRPr="000A255E">
        <w:rPr>
          <w:rFonts w:ascii="Times New Roman" w:hAnsi="Times New Roman" w:cs="Times New Roman"/>
          <w:sz w:val="24"/>
          <w:szCs w:val="24"/>
        </w:rPr>
        <w:t xml:space="preserve">, 693 F.3d 896, 915 (9th Cir. 2012) (quoting </w:t>
      </w:r>
      <w:r w:rsidRPr="000A255E">
        <w:rPr>
          <w:rFonts w:ascii="Times New Roman" w:hAnsi="Times New Roman" w:cs="Times New Roman"/>
          <w:i/>
          <w:iCs/>
          <w:sz w:val="24"/>
          <w:szCs w:val="24"/>
        </w:rPr>
        <w:t>Johnson v. Duffy</w:t>
      </w:r>
      <w:r w:rsidRPr="000A255E">
        <w:rPr>
          <w:rFonts w:ascii="Times New Roman" w:hAnsi="Times New Roman" w:cs="Times New Roman"/>
          <w:sz w:val="24"/>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0A255E">
        <w:rPr>
          <w:rFonts w:ascii="Times New Roman" w:hAnsi="Times New Roman" w:cs="Times New Roman"/>
          <w:i/>
          <w:iCs/>
          <w:sz w:val="24"/>
          <w:szCs w:val="24"/>
        </w:rPr>
        <w:t>Chaudhry</w:t>
      </w:r>
      <w:r w:rsidRPr="000A255E">
        <w:rPr>
          <w:rFonts w:ascii="Times New Roman" w:hAnsi="Times New Roman" w:cs="Times New Roman"/>
          <w:sz w:val="24"/>
          <w:szCs w:val="24"/>
        </w:rPr>
        <w:t xml:space="preserve">, 68 F.4th at 1169.  A police officer’s liability under section 1983 is predicated on his integral participation in the alleged violation.”  </w:t>
      </w:r>
      <w:r w:rsidRPr="000A255E">
        <w:rPr>
          <w:rFonts w:ascii="Times New Roman" w:hAnsi="Times New Roman" w:cs="Times New Roman"/>
          <w:i/>
          <w:iCs/>
          <w:sz w:val="24"/>
          <w:szCs w:val="24"/>
        </w:rPr>
        <w:t>Nicholson v. City of Los Angeles</w:t>
      </w:r>
      <w:r w:rsidRPr="000A255E">
        <w:rPr>
          <w:rFonts w:ascii="Times New Roman" w:hAnsi="Times New Roman" w:cs="Times New Roman"/>
          <w:sz w:val="24"/>
          <w:szCs w:val="24"/>
        </w:rPr>
        <w:t xml:space="preserve">, 935 F.3d 685, 691 (9th Cir. 2019) (quoting </w:t>
      </w:r>
      <w:r w:rsidRPr="000A255E">
        <w:rPr>
          <w:rFonts w:ascii="Times New Roman" w:hAnsi="Times New Roman" w:cs="Times New Roman"/>
          <w:i/>
          <w:iCs/>
          <w:sz w:val="24"/>
          <w:szCs w:val="24"/>
        </w:rPr>
        <w:t>Blankenhorn v. City of Orange</w:t>
      </w:r>
      <w:r w:rsidRPr="000A255E">
        <w:rPr>
          <w:rFonts w:ascii="Times New Roman" w:hAnsi="Times New Roman" w:cs="Times New Roman"/>
          <w:sz w:val="24"/>
          <w:szCs w:val="24"/>
        </w:rPr>
        <w:t xml:space="preserve">, 485 F.3d 463, 481 n.12 (9th Cir. 2007) (internal quotes omitted)).  Thus, an “officer could be held liable where he is just one participant in a sequence of events that gives rise to [the alleged] constitutional violation.”  </w:t>
      </w:r>
      <w:r w:rsidRPr="000A255E">
        <w:rPr>
          <w:rFonts w:ascii="Times New Roman" w:hAnsi="Times New Roman" w:cs="Times New Roman"/>
          <w:i/>
          <w:iCs/>
          <w:sz w:val="24"/>
          <w:szCs w:val="24"/>
        </w:rPr>
        <w:t>Nicholson</w:t>
      </w:r>
      <w:r w:rsidRPr="000A255E">
        <w:rPr>
          <w:rFonts w:ascii="Times New Roman" w:hAnsi="Times New Roman" w:cs="Times New Roman"/>
          <w:sz w:val="24"/>
          <w:szCs w:val="24"/>
        </w:rPr>
        <w:t xml:space="preserve">, 935 F.3d at 692; </w:t>
      </w:r>
      <w:r w:rsidRPr="000A255E">
        <w:rPr>
          <w:rFonts w:ascii="Times New Roman" w:hAnsi="Times New Roman" w:cs="Times New Roman"/>
          <w:i/>
          <w:iCs/>
          <w:sz w:val="24"/>
          <w:szCs w:val="24"/>
        </w:rPr>
        <w:t>but see Felarca v. Birgeneau</w:t>
      </w:r>
      <w:r w:rsidRPr="000A255E">
        <w:rPr>
          <w:rFonts w:ascii="Times New Roman" w:hAnsi="Times New Roman" w:cs="Times New Roman"/>
          <w:sz w:val="24"/>
          <w:szCs w:val="24"/>
        </w:rPr>
        <w:t>, 891 F.3d 809, 820 (9th Cir. 2018) (“Officers may not be held liable merely for being present at the scene of a constitutional violation or for being a member of the same operational unit as a wrongdoer.”).</w:t>
      </w:r>
    </w:p>
    <w:p w14:paraId="41D871FE" w14:textId="77777777" w:rsidR="00A876DE" w:rsidRPr="000A255E" w:rsidRDefault="00A876DE" w:rsidP="00A876DE">
      <w:pPr>
        <w:spacing w:after="0" w:line="240" w:lineRule="auto"/>
        <w:ind w:firstLine="720"/>
        <w:jc w:val="both"/>
        <w:rPr>
          <w:rFonts w:ascii="Times New Roman" w:hAnsi="Times New Roman" w:cs="Times New Roman"/>
          <w:sz w:val="24"/>
          <w:szCs w:val="24"/>
        </w:rPr>
      </w:pPr>
    </w:p>
    <w:p w14:paraId="101E4247" w14:textId="77777777" w:rsidR="00A876DE" w:rsidRDefault="00A876DE" w:rsidP="00A876DE">
      <w:pPr>
        <w:spacing w:after="0" w:line="240" w:lineRule="auto"/>
        <w:ind w:firstLine="720"/>
        <w:jc w:val="both"/>
        <w:rPr>
          <w:rFonts w:ascii="Times New Roman" w:hAnsi="Times New Roman" w:cs="Times New Roman"/>
          <w:sz w:val="24"/>
          <w:szCs w:val="24"/>
        </w:rPr>
      </w:pPr>
      <w:r w:rsidRPr="000A255E">
        <w:rPr>
          <w:rFonts w:ascii="Times New Roman" w:hAnsi="Times New Roman" w:cs="Times New Roman"/>
          <w:sz w:val="24"/>
          <w:szCs w:val="24"/>
        </w:rPr>
        <w:t xml:space="preserve">“The inquiry into causation must be individualized and focus on the duties and responsibilities of each individual defendant whose acts or omissions are alleged to have caused a constitutional deprivation.”  </w:t>
      </w:r>
      <w:r w:rsidRPr="000A255E">
        <w:rPr>
          <w:rFonts w:ascii="Times New Roman" w:hAnsi="Times New Roman" w:cs="Times New Roman"/>
          <w:i/>
          <w:iCs/>
          <w:sz w:val="24"/>
          <w:szCs w:val="24"/>
        </w:rPr>
        <w:t>Leer v. Murphy</w:t>
      </w:r>
      <w:r w:rsidRPr="000A255E">
        <w:rPr>
          <w:rFonts w:ascii="Times New Roman" w:hAnsi="Times New Roman" w:cs="Times New Roman"/>
          <w:sz w:val="24"/>
          <w:szCs w:val="24"/>
        </w:rPr>
        <w:t xml:space="preserve">, 844 F.2d 628, 633 (9th Cir. 1988); </w:t>
      </w:r>
      <w:r w:rsidRPr="000A255E">
        <w:rPr>
          <w:rFonts w:ascii="Times New Roman" w:hAnsi="Times New Roman" w:cs="Times New Roman"/>
          <w:i/>
          <w:iCs/>
          <w:sz w:val="24"/>
          <w:szCs w:val="24"/>
        </w:rPr>
        <w:t>see also Hines v. Youseff</w:t>
      </w:r>
      <w:r w:rsidRPr="000A255E">
        <w:rPr>
          <w:rFonts w:ascii="Times New Roman" w:hAnsi="Times New Roman" w:cs="Times New Roman"/>
          <w:sz w:val="24"/>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127508D0" w14:textId="77777777" w:rsidR="00390514" w:rsidRDefault="00390514" w:rsidP="00A876DE">
      <w:pPr>
        <w:spacing w:after="0" w:line="240" w:lineRule="auto"/>
        <w:ind w:firstLine="720"/>
        <w:jc w:val="both"/>
        <w:rPr>
          <w:rFonts w:ascii="Times New Roman" w:hAnsi="Times New Roman" w:cs="Times New Roman"/>
          <w:sz w:val="24"/>
          <w:szCs w:val="24"/>
        </w:rPr>
      </w:pPr>
    </w:p>
    <w:p w14:paraId="71298828" w14:textId="39B459EA" w:rsidR="00390514" w:rsidRPr="000A255E" w:rsidRDefault="00390514" w:rsidP="00390514">
      <w:pPr>
        <w:spacing w:after="0" w:line="240" w:lineRule="auto"/>
        <w:ind w:firstLine="720"/>
        <w:jc w:val="both"/>
        <w:rPr>
          <w:rFonts w:ascii="Times New Roman" w:hAnsi="Times New Roman" w:cs="Times New Roman"/>
          <w:sz w:val="24"/>
          <w:szCs w:val="24"/>
        </w:rPr>
      </w:pPr>
      <w:r w:rsidRPr="00390514">
        <w:rPr>
          <w:rFonts w:ascii="Times New Roman" w:hAnsi="Times New Roman" w:cs="Times New Roman"/>
          <w:sz w:val="24"/>
          <w:szCs w:val="24"/>
        </w:rPr>
        <w:lastRenderedPageBreak/>
        <w:t xml:space="preserve">In a multi-plaintiff or multi-defendant case, the trial judge should consider naming each individual specifically in lieu of using the generic term “officers” or “defendants.” In </w:t>
      </w:r>
      <w:proofErr w:type="spellStart"/>
      <w:r w:rsidRPr="00390514">
        <w:rPr>
          <w:rFonts w:ascii="Times New Roman" w:hAnsi="Times New Roman" w:cs="Times New Roman"/>
          <w:i/>
          <w:iCs/>
          <w:sz w:val="24"/>
          <w:szCs w:val="24"/>
        </w:rPr>
        <w:t>Chinaryan</w:t>
      </w:r>
      <w:proofErr w:type="spellEnd"/>
      <w:r w:rsidRPr="00390514">
        <w:rPr>
          <w:rFonts w:ascii="Times New Roman" w:hAnsi="Times New Roman" w:cs="Times New Roman"/>
          <w:sz w:val="24"/>
          <w:szCs w:val="24"/>
        </w:rPr>
        <w:t>, the Ninth Circuit explained that the jury instructions were “confusing” where the instructions stated that “to establish an unreasonable seizure in this case, the plaintiffs must prove by a preponderance of the evidence that the officer</w:t>
      </w:r>
      <w:r w:rsidRPr="00390514">
        <w:rPr>
          <w:rFonts w:ascii="Times New Roman" w:hAnsi="Times New Roman" w:cs="Times New Roman"/>
          <w:b/>
          <w:bCs/>
          <w:i/>
          <w:iCs/>
          <w:sz w:val="24"/>
          <w:szCs w:val="24"/>
          <w:u w:val="single"/>
        </w:rPr>
        <w:t>s</w:t>
      </w:r>
      <w:r w:rsidRPr="00390514">
        <w:rPr>
          <w:rFonts w:ascii="Times New Roman" w:hAnsi="Times New Roman" w:cs="Times New Roman"/>
          <w:sz w:val="24"/>
          <w:szCs w:val="24"/>
        </w:rPr>
        <w:t xml:space="preserve">”—plural—“used excessive force.” </w:t>
      </w:r>
      <w:proofErr w:type="spellStart"/>
      <w:r w:rsidRPr="00390514">
        <w:rPr>
          <w:rFonts w:ascii="Times New Roman" w:hAnsi="Times New Roman" w:cs="Times New Roman"/>
          <w:i/>
          <w:iCs/>
          <w:sz w:val="24"/>
          <w:szCs w:val="24"/>
        </w:rPr>
        <w:t>Chinaryan</w:t>
      </w:r>
      <w:proofErr w:type="spellEnd"/>
      <w:r w:rsidRPr="00390514">
        <w:rPr>
          <w:rFonts w:ascii="Times New Roman" w:hAnsi="Times New Roman" w:cs="Times New Roman"/>
          <w:i/>
          <w:iCs/>
          <w:sz w:val="24"/>
          <w:szCs w:val="24"/>
        </w:rPr>
        <w:t xml:space="preserve"> v. City of Los Angeles</w:t>
      </w:r>
      <w:r w:rsidRPr="00390514">
        <w:rPr>
          <w:rFonts w:ascii="Times New Roman" w:hAnsi="Times New Roman" w:cs="Times New Roman"/>
          <w:sz w:val="24"/>
          <w:szCs w:val="24"/>
        </w:rPr>
        <w:t>, 113 F.4th 888, 905 (9th Cir. 2024) (emphasis in original). The “officer</w:t>
      </w:r>
      <w:r w:rsidRPr="00390514">
        <w:rPr>
          <w:rFonts w:ascii="Times New Roman" w:hAnsi="Times New Roman" w:cs="Times New Roman"/>
          <w:b/>
          <w:bCs/>
          <w:i/>
          <w:iCs/>
          <w:sz w:val="24"/>
          <w:szCs w:val="24"/>
          <w:u w:val="single"/>
        </w:rPr>
        <w:t>s</w:t>
      </w:r>
      <w:r w:rsidRPr="00390514">
        <w:rPr>
          <w:rFonts w:ascii="Times New Roman" w:hAnsi="Times New Roman" w:cs="Times New Roman"/>
          <w:sz w:val="24"/>
          <w:szCs w:val="24"/>
        </w:rPr>
        <w:t>”</w:t>
      </w:r>
      <w:r w:rsidRPr="00390514">
        <w:rPr>
          <w:rFonts w:ascii="Times New Roman" w:hAnsi="Times New Roman" w:cs="Times New Roman"/>
          <w:b/>
          <w:bCs/>
          <w:sz w:val="24"/>
          <w:szCs w:val="24"/>
        </w:rPr>
        <w:t xml:space="preserve"> </w:t>
      </w:r>
      <w:r w:rsidRPr="00390514">
        <w:rPr>
          <w:rFonts w:ascii="Times New Roman" w:hAnsi="Times New Roman" w:cs="Times New Roman"/>
          <w:sz w:val="24"/>
          <w:szCs w:val="24"/>
        </w:rPr>
        <w:t xml:space="preserve">jury instruction language was confusing because it “required the jury to evaluate the excessiveness of the force used by the officers collectively rather than consider whether any single officer used excessive force.” </w:t>
      </w:r>
      <w:r w:rsidRPr="00390514">
        <w:rPr>
          <w:rFonts w:ascii="Times New Roman" w:hAnsi="Times New Roman" w:cs="Times New Roman"/>
          <w:i/>
          <w:iCs/>
          <w:sz w:val="24"/>
          <w:szCs w:val="24"/>
        </w:rPr>
        <w:t>Id.</w:t>
      </w:r>
      <w:r w:rsidRPr="00390514">
        <w:rPr>
          <w:rFonts w:ascii="Times New Roman" w:hAnsi="Times New Roman" w:cs="Times New Roman"/>
          <w:sz w:val="24"/>
          <w:szCs w:val="24"/>
        </w:rPr>
        <w:t xml:space="preserve"> In light of </w:t>
      </w:r>
      <w:proofErr w:type="spellStart"/>
      <w:r w:rsidRPr="00390514">
        <w:rPr>
          <w:rFonts w:ascii="Times New Roman" w:hAnsi="Times New Roman" w:cs="Times New Roman"/>
          <w:i/>
          <w:iCs/>
          <w:sz w:val="24"/>
          <w:szCs w:val="24"/>
        </w:rPr>
        <w:t>Chinaryan</w:t>
      </w:r>
      <w:proofErr w:type="spellEnd"/>
      <w:r w:rsidRPr="00390514">
        <w:rPr>
          <w:rFonts w:ascii="Times New Roman" w:hAnsi="Times New Roman" w:cs="Times New Roman"/>
          <w:sz w:val="24"/>
          <w:szCs w:val="24"/>
        </w:rPr>
        <w:t>, the trial judge may consider using a special verdict to identify the specific findings as to each plaintiff and defendant.</w:t>
      </w:r>
    </w:p>
    <w:p w14:paraId="73E148CD" w14:textId="77777777" w:rsidR="00A876DE" w:rsidRPr="000A255E" w:rsidRDefault="00A876DE" w:rsidP="00A876DE">
      <w:pPr>
        <w:spacing w:after="0" w:line="240" w:lineRule="auto"/>
        <w:ind w:firstLine="720"/>
        <w:jc w:val="both"/>
        <w:rPr>
          <w:rFonts w:ascii="Times New Roman" w:hAnsi="Times New Roman" w:cs="Times New Roman"/>
          <w:sz w:val="24"/>
          <w:szCs w:val="24"/>
        </w:rPr>
      </w:pPr>
    </w:p>
    <w:p w14:paraId="24B2C45B" w14:textId="38FE1197" w:rsidR="00A876DE" w:rsidRPr="000A255E" w:rsidRDefault="00A876DE" w:rsidP="00A876DE">
      <w:pPr>
        <w:spacing w:after="0" w:line="240" w:lineRule="auto"/>
        <w:jc w:val="center"/>
        <w:rPr>
          <w:rFonts w:ascii="Times New Roman" w:hAnsi="Times New Roman" w:cs="Times New Roman"/>
          <w:b/>
          <w:bCs/>
          <w:sz w:val="24"/>
          <w:szCs w:val="24"/>
        </w:rPr>
      </w:pPr>
      <w:r w:rsidRPr="000A255E">
        <w:rPr>
          <w:rFonts w:ascii="Times New Roman" w:hAnsi="Times New Roman" w:cs="Times New Roman"/>
          <w:b/>
          <w:bCs/>
          <w:sz w:val="24"/>
          <w:szCs w:val="24"/>
        </w:rPr>
        <w:t>Supervisor Liability</w:t>
      </w:r>
    </w:p>
    <w:p w14:paraId="05F5A23B" w14:textId="77777777" w:rsidR="00A876DE" w:rsidRPr="000A255E" w:rsidRDefault="00A876DE" w:rsidP="00A876DE">
      <w:pPr>
        <w:spacing w:after="0" w:line="240" w:lineRule="auto"/>
        <w:jc w:val="center"/>
        <w:rPr>
          <w:rFonts w:ascii="Times New Roman" w:hAnsi="Times New Roman" w:cs="Times New Roman"/>
          <w:sz w:val="24"/>
          <w:szCs w:val="24"/>
        </w:rPr>
      </w:pPr>
    </w:p>
    <w:p w14:paraId="79238F7A" w14:textId="33608E6A" w:rsidR="00A876DE" w:rsidRDefault="00A876DE" w:rsidP="00A876DE">
      <w:pPr>
        <w:spacing w:after="0" w:line="240" w:lineRule="auto"/>
        <w:jc w:val="both"/>
        <w:rPr>
          <w:rFonts w:ascii="Times New Roman" w:hAnsi="Times New Roman" w:cs="Times New Roman"/>
          <w:sz w:val="24"/>
          <w:szCs w:val="24"/>
        </w:rPr>
      </w:pPr>
      <w:r w:rsidRPr="000A255E">
        <w:rPr>
          <w:rFonts w:ascii="Times New Roman" w:hAnsi="Times New Roman" w:cs="Times New Roman"/>
          <w:sz w:val="24"/>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0A255E">
        <w:rPr>
          <w:rFonts w:ascii="Times New Roman" w:hAnsi="Times New Roman" w:cs="Times New Roman"/>
          <w:i/>
          <w:iCs/>
          <w:sz w:val="24"/>
          <w:szCs w:val="24"/>
        </w:rPr>
        <w:t>Starr v. Baca</w:t>
      </w:r>
      <w:r w:rsidRPr="000A255E">
        <w:rPr>
          <w:rFonts w:ascii="Times New Roman" w:hAnsi="Times New Roman" w:cs="Times New Roman"/>
          <w:sz w:val="24"/>
          <w:szCs w:val="24"/>
        </w:rPr>
        <w:t xml:space="preserve">, 652 F.3d 1202, 1207 (9th Cir. 2011) (quoting </w:t>
      </w:r>
      <w:r w:rsidRPr="000A255E">
        <w:rPr>
          <w:rFonts w:ascii="Times New Roman" w:hAnsi="Times New Roman" w:cs="Times New Roman"/>
          <w:i/>
          <w:iCs/>
          <w:sz w:val="24"/>
          <w:szCs w:val="24"/>
        </w:rPr>
        <w:t>Hansen v. Black</w:t>
      </w:r>
      <w:r w:rsidRPr="000A255E">
        <w:rPr>
          <w:rFonts w:ascii="Times New Roman" w:hAnsi="Times New Roman" w:cs="Times New Roman"/>
          <w:sz w:val="24"/>
          <w:szCs w:val="24"/>
        </w:rPr>
        <w:t xml:space="preserve">, 885 F.2d 642, 646 (9th Cir. 1989); </w:t>
      </w:r>
      <w:r w:rsidRPr="000A255E">
        <w:rPr>
          <w:rFonts w:ascii="Times New Roman" w:hAnsi="Times New Roman" w:cs="Times New Roman"/>
          <w:i/>
          <w:iCs/>
          <w:sz w:val="24"/>
          <w:szCs w:val="24"/>
        </w:rPr>
        <w:t>see also Lacey</w:t>
      </w:r>
      <w:r w:rsidRPr="000A255E">
        <w:rPr>
          <w:rFonts w:ascii="Times New Roman" w:hAnsi="Times New Roman" w:cs="Times New Roman"/>
          <w:sz w:val="24"/>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0A255E">
        <w:rPr>
          <w:rFonts w:ascii="Times New Roman" w:hAnsi="Times New Roman" w:cs="Times New Roman"/>
          <w:i/>
          <w:iCs/>
          <w:sz w:val="24"/>
          <w:szCs w:val="24"/>
        </w:rPr>
        <w:t>Hyde v. City of Willcox</w:t>
      </w:r>
      <w:r w:rsidRPr="000A255E">
        <w:rPr>
          <w:rFonts w:ascii="Times New Roman" w:hAnsi="Times New Roman" w:cs="Times New Roman"/>
          <w:sz w:val="24"/>
          <w:szCs w:val="24"/>
        </w:rPr>
        <w:t xml:space="preserve">, 23 F.4th 863, 874 (9th Cir. 2022); </w:t>
      </w:r>
      <w:r w:rsidR="000A255E" w:rsidRPr="000A255E">
        <w:rPr>
          <w:rFonts w:ascii="Times New Roman" w:hAnsi="Times New Roman" w:cs="Times New Roman"/>
          <w:sz w:val="24"/>
          <w:szCs w:val="24"/>
        </w:rPr>
        <w:t>s</w:t>
      </w:r>
      <w:r w:rsidRPr="000A255E">
        <w:rPr>
          <w:rFonts w:ascii="Times New Roman" w:hAnsi="Times New Roman" w:cs="Times New Roman"/>
          <w:i/>
          <w:iCs/>
          <w:sz w:val="24"/>
          <w:szCs w:val="24"/>
        </w:rPr>
        <w:t>ee</w:t>
      </w:r>
      <w:r w:rsidR="000C5DB2" w:rsidRPr="000A255E">
        <w:rPr>
          <w:rFonts w:ascii="Times New Roman" w:hAnsi="Times New Roman" w:cs="Times New Roman"/>
          <w:i/>
          <w:iCs/>
          <w:sz w:val="24"/>
          <w:szCs w:val="24"/>
        </w:rPr>
        <w:t xml:space="preserve"> </w:t>
      </w:r>
      <w:r w:rsidRPr="000A255E">
        <w:rPr>
          <w:rFonts w:ascii="Times New Roman" w:hAnsi="Times New Roman" w:cs="Times New Roman"/>
          <w:i/>
          <w:iCs/>
          <w:sz w:val="24"/>
          <w:szCs w:val="24"/>
        </w:rPr>
        <w:t>Starr</w:t>
      </w:r>
      <w:r w:rsidRPr="000A255E">
        <w:rPr>
          <w:rFonts w:ascii="Times New Roman" w:hAnsi="Times New Roman" w:cs="Times New Roman"/>
          <w:sz w:val="24"/>
          <w:szCs w:val="24"/>
        </w:rPr>
        <w:t xml:space="preserve">, 652 F.3d at 1207-08; </w:t>
      </w:r>
      <w:r w:rsidRPr="000A255E">
        <w:rPr>
          <w:rFonts w:ascii="Times New Roman" w:hAnsi="Times New Roman" w:cs="Times New Roman"/>
          <w:i/>
          <w:iCs/>
          <w:sz w:val="24"/>
          <w:szCs w:val="24"/>
        </w:rPr>
        <w:t>see also OSU Student All. v. Ray,</w:t>
      </w:r>
      <w:r w:rsidRPr="000A255E">
        <w:rPr>
          <w:rFonts w:ascii="Times New Roman" w:hAnsi="Times New Roman" w:cs="Times New Roman"/>
          <w:sz w:val="24"/>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proofErr w:type="spellStart"/>
      <w:r w:rsidRPr="000A255E">
        <w:rPr>
          <w:rFonts w:ascii="Times New Roman" w:hAnsi="Times New Roman" w:cs="Times New Roman"/>
          <w:i/>
          <w:iCs/>
          <w:sz w:val="24"/>
          <w:szCs w:val="24"/>
        </w:rPr>
        <w:t>respondeat</w:t>
      </w:r>
      <w:proofErr w:type="spellEnd"/>
      <w:r w:rsidRPr="000A255E">
        <w:rPr>
          <w:rFonts w:ascii="Times New Roman" w:hAnsi="Times New Roman" w:cs="Times New Roman"/>
          <w:i/>
          <w:iCs/>
          <w:sz w:val="24"/>
          <w:szCs w:val="24"/>
        </w:rPr>
        <w:t xml:space="preserve"> superior</w:t>
      </w:r>
      <w:r w:rsidRPr="000A255E">
        <w:rPr>
          <w:rFonts w:ascii="Times New Roman" w:hAnsi="Times New Roman" w:cs="Times New Roman"/>
          <w:sz w:val="24"/>
          <w:szCs w:val="24"/>
        </w:rPr>
        <w:t xml:space="preserve">.  </w:t>
      </w:r>
      <w:r w:rsidRPr="000A255E">
        <w:rPr>
          <w:rFonts w:ascii="Times New Roman" w:hAnsi="Times New Roman" w:cs="Times New Roman"/>
          <w:i/>
          <w:iCs/>
          <w:sz w:val="24"/>
          <w:szCs w:val="24"/>
        </w:rPr>
        <w:t>Ashcroft v. Iqbal</w:t>
      </w:r>
      <w:r w:rsidRPr="000A255E">
        <w:rPr>
          <w:rFonts w:ascii="Times New Roman" w:hAnsi="Times New Roman" w:cs="Times New Roman"/>
          <w:sz w:val="24"/>
          <w:szCs w:val="24"/>
        </w:rPr>
        <w:t>, 556 U.S. 662, 676 (2009)</w:t>
      </w:r>
      <w:r w:rsidR="00986AE8">
        <w:rPr>
          <w:rFonts w:ascii="Times New Roman" w:hAnsi="Times New Roman" w:cs="Times New Roman"/>
          <w:sz w:val="24"/>
          <w:szCs w:val="24"/>
        </w:rPr>
        <w:t xml:space="preserve">. </w:t>
      </w:r>
      <w:r w:rsidR="00986AE8" w:rsidRPr="00CB5858">
        <w:rPr>
          <w:rFonts w:ascii="Times New Roman" w:hAnsi="Times New Roman" w:cs="Times New Roman"/>
          <w:sz w:val="24"/>
          <w:szCs w:val="24"/>
        </w:rPr>
        <w:t xml:space="preserve">There can be no such supervisorial liability in the absence of an underlying constitutional violation by subordinates. </w:t>
      </w:r>
      <w:r w:rsidR="00986AE8" w:rsidRPr="00CB5858">
        <w:rPr>
          <w:rFonts w:ascii="Times New Roman" w:hAnsi="Times New Roman" w:cs="Times New Roman"/>
          <w:i/>
          <w:iCs/>
          <w:sz w:val="24"/>
          <w:szCs w:val="24"/>
        </w:rPr>
        <w:t>Puente v. City of Phoenix</w:t>
      </w:r>
      <w:r w:rsidR="00986AE8" w:rsidRPr="00CB5858">
        <w:rPr>
          <w:rFonts w:ascii="Times New Roman" w:hAnsi="Times New Roman" w:cs="Times New Roman"/>
          <w:sz w:val="24"/>
          <w:szCs w:val="24"/>
        </w:rPr>
        <w:t>, 123 F.4th 1035, 1064 (9th Cir. 2024).</w:t>
      </w:r>
    </w:p>
    <w:p w14:paraId="07513156" w14:textId="77777777" w:rsidR="00533566" w:rsidRDefault="00533566" w:rsidP="00A876DE">
      <w:pPr>
        <w:spacing w:after="0" w:line="240" w:lineRule="auto"/>
        <w:jc w:val="both"/>
        <w:rPr>
          <w:rFonts w:ascii="Times New Roman" w:hAnsi="Times New Roman" w:cs="Times New Roman"/>
          <w:sz w:val="24"/>
          <w:szCs w:val="24"/>
        </w:rPr>
      </w:pPr>
    </w:p>
    <w:p w14:paraId="51A58871" w14:textId="06109E4D" w:rsidR="00533566" w:rsidRPr="00533566" w:rsidRDefault="00533566" w:rsidP="00533566">
      <w:pPr>
        <w:spacing w:after="0" w:line="240" w:lineRule="auto"/>
        <w:jc w:val="center"/>
        <w:rPr>
          <w:rFonts w:ascii="Times New Roman" w:hAnsi="Times New Roman" w:cs="Times New Roman"/>
          <w:b/>
          <w:bCs/>
          <w:sz w:val="24"/>
          <w:szCs w:val="24"/>
        </w:rPr>
      </w:pPr>
      <w:r w:rsidRPr="00533566">
        <w:rPr>
          <w:rFonts w:ascii="Times New Roman" w:hAnsi="Times New Roman" w:cs="Times New Roman"/>
          <w:b/>
          <w:bCs/>
          <w:sz w:val="24"/>
          <w:szCs w:val="24"/>
        </w:rPr>
        <w:t>Integral Participant Doctrine</w:t>
      </w:r>
    </w:p>
    <w:p w14:paraId="2C5F8AE4" w14:textId="77777777" w:rsidR="00621EDF" w:rsidRPr="000A255E" w:rsidRDefault="00621EDF" w:rsidP="00A876DE">
      <w:pPr>
        <w:spacing w:after="0" w:line="240" w:lineRule="auto"/>
        <w:jc w:val="both"/>
        <w:rPr>
          <w:rFonts w:ascii="Times New Roman" w:hAnsi="Times New Roman" w:cs="Times New Roman"/>
          <w:sz w:val="24"/>
          <w:szCs w:val="24"/>
        </w:rPr>
      </w:pPr>
    </w:p>
    <w:p w14:paraId="2ED2F0A0" w14:textId="4F2A6D93" w:rsidR="00621EDF" w:rsidRPr="000A255E" w:rsidRDefault="00621EDF" w:rsidP="00621EDF">
      <w:pPr>
        <w:spacing w:after="0" w:line="240" w:lineRule="auto"/>
        <w:ind w:firstLine="720"/>
        <w:jc w:val="both"/>
        <w:rPr>
          <w:rFonts w:ascii="Times New Roman" w:hAnsi="Times New Roman" w:cs="Times New Roman"/>
          <w:sz w:val="24"/>
          <w:szCs w:val="24"/>
        </w:rPr>
      </w:pPr>
      <w:r w:rsidRPr="000A255E">
        <w:rPr>
          <w:rFonts w:ascii="Times New Roman" w:hAnsi="Times New Roman" w:cs="Times New Roman"/>
          <w:sz w:val="24"/>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0A255E">
        <w:rPr>
          <w:rFonts w:ascii="Times New Roman" w:hAnsi="Times New Roman" w:cs="Times New Roman"/>
          <w:i/>
          <w:iCs/>
          <w:sz w:val="24"/>
          <w:szCs w:val="24"/>
        </w:rPr>
        <w:t>Peck v. Montoya</w:t>
      </w:r>
      <w:r w:rsidRPr="000A255E">
        <w:rPr>
          <w:rFonts w:ascii="Times New Roman" w:hAnsi="Times New Roman" w:cs="Times New Roman"/>
          <w:sz w:val="24"/>
          <w:szCs w:val="24"/>
        </w:rPr>
        <w:t xml:space="preserve">, 51 F.4th 877, 889 (9th Cir. 2022) (quoting </w:t>
      </w:r>
      <w:r w:rsidRPr="000A255E">
        <w:rPr>
          <w:rFonts w:ascii="Times New Roman" w:hAnsi="Times New Roman" w:cs="Times New Roman"/>
          <w:i/>
          <w:iCs/>
          <w:sz w:val="24"/>
          <w:szCs w:val="24"/>
        </w:rPr>
        <w:t>Reynaga Hernandez v. Skinner</w:t>
      </w:r>
      <w:r w:rsidRPr="000A255E">
        <w:rPr>
          <w:rFonts w:ascii="Times New Roman" w:hAnsi="Times New Roman" w:cs="Times New Roman"/>
          <w:sz w:val="24"/>
          <w:szCs w:val="24"/>
        </w:rPr>
        <w:t>, 969 F.3d 930, 941 (9th</w:t>
      </w:r>
      <w:r w:rsidRPr="000A255E">
        <w:rPr>
          <w:rFonts w:ascii="Times New Roman" w:hAnsi="Times New Roman" w:cs="Times New Roman"/>
          <w:sz w:val="24"/>
          <w:szCs w:val="24"/>
          <w:vertAlign w:val="superscript"/>
        </w:rPr>
        <w:t xml:space="preserve"> </w:t>
      </w:r>
      <w:r w:rsidRPr="000A255E">
        <w:rPr>
          <w:rFonts w:ascii="Times New Roman" w:hAnsi="Times New Roman" w:cs="Times New Roman"/>
          <w:sz w:val="24"/>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0A255E">
        <w:rPr>
          <w:rFonts w:ascii="Times New Roman" w:hAnsi="Times New Roman" w:cs="Times New Roman"/>
          <w:i/>
          <w:iCs/>
          <w:sz w:val="24"/>
          <w:szCs w:val="24"/>
        </w:rPr>
        <w:t>Id.</w:t>
      </w:r>
      <w:r w:rsidRPr="000A255E">
        <w:rPr>
          <w:rFonts w:ascii="Times New Roman" w:hAnsi="Times New Roman" w:cs="Times New Roman"/>
          <w:sz w:val="24"/>
          <w:szCs w:val="24"/>
        </w:rPr>
        <w:t xml:space="preserve"> at 891</w:t>
      </w:r>
      <w:bookmarkStart w:id="0" w:name="_Hlk186442789"/>
      <w:r w:rsidR="00533566">
        <w:rPr>
          <w:rFonts w:ascii="Times New Roman" w:hAnsi="Times New Roman" w:cs="Times New Roman"/>
          <w:sz w:val="24"/>
          <w:szCs w:val="24"/>
        </w:rPr>
        <w:t>;</w:t>
      </w:r>
      <w:r w:rsidR="00533566" w:rsidRPr="00533566">
        <w:rPr>
          <w:rFonts w:ascii="Times New Roman" w:hAnsi="Times New Roman" w:cs="Times New Roman"/>
          <w:i/>
          <w:iCs/>
          <w:sz w:val="24"/>
          <w:szCs w:val="24"/>
        </w:rPr>
        <w:t xml:space="preserve"> see Spencer v. Pew</w:t>
      </w:r>
      <w:r w:rsidR="00533566" w:rsidRPr="00533566">
        <w:rPr>
          <w:rFonts w:ascii="Times New Roman" w:hAnsi="Times New Roman" w:cs="Times New Roman"/>
          <w:sz w:val="24"/>
          <w:szCs w:val="24"/>
        </w:rPr>
        <w:t xml:space="preserve">, 117 F.4th 1130, 1144-45 (9th Cir. 2024) (rejecting plaintiff’s claim that </w:t>
      </w:r>
      <w:r w:rsidR="00533566">
        <w:rPr>
          <w:rFonts w:ascii="Times New Roman" w:hAnsi="Times New Roman" w:cs="Times New Roman"/>
          <w:sz w:val="24"/>
          <w:szCs w:val="24"/>
        </w:rPr>
        <w:t>two</w:t>
      </w:r>
      <w:r w:rsidR="00533566" w:rsidRPr="00533566">
        <w:rPr>
          <w:rFonts w:ascii="Times New Roman" w:hAnsi="Times New Roman" w:cs="Times New Roman"/>
          <w:sz w:val="24"/>
          <w:szCs w:val="24"/>
        </w:rPr>
        <w:t xml:space="preserve"> officers were integral participants in a </w:t>
      </w:r>
      <w:r w:rsidR="00533566">
        <w:rPr>
          <w:rFonts w:ascii="Times New Roman" w:hAnsi="Times New Roman" w:cs="Times New Roman"/>
          <w:sz w:val="24"/>
          <w:szCs w:val="24"/>
        </w:rPr>
        <w:t>third</w:t>
      </w:r>
      <w:r w:rsidR="00533566" w:rsidRPr="00533566">
        <w:rPr>
          <w:rFonts w:ascii="Times New Roman" w:hAnsi="Times New Roman" w:cs="Times New Roman"/>
          <w:sz w:val="24"/>
          <w:szCs w:val="24"/>
        </w:rPr>
        <w:t xml:space="preserve"> officer’s use of excessive force because plaintiff did not present evidence </w:t>
      </w:r>
      <w:r w:rsidR="00533566">
        <w:rPr>
          <w:rFonts w:ascii="Times New Roman" w:hAnsi="Times New Roman" w:cs="Times New Roman"/>
          <w:sz w:val="24"/>
          <w:szCs w:val="24"/>
        </w:rPr>
        <w:t xml:space="preserve">that two of the officers knowingly acquiesced in a third officer’s unlawful conduct as a part </w:t>
      </w:r>
      <w:r w:rsidR="00533566" w:rsidRPr="00533566">
        <w:rPr>
          <w:rFonts w:ascii="Times New Roman" w:hAnsi="Times New Roman" w:cs="Times New Roman"/>
          <w:sz w:val="24"/>
          <w:szCs w:val="24"/>
        </w:rPr>
        <w:t>of a common plan</w:t>
      </w:r>
      <w:r w:rsidR="00533566">
        <w:rPr>
          <w:rFonts w:ascii="Times New Roman" w:hAnsi="Times New Roman" w:cs="Times New Roman"/>
          <w:sz w:val="24"/>
          <w:szCs w:val="24"/>
        </w:rPr>
        <w:t xml:space="preserve"> with him</w:t>
      </w:r>
      <w:r w:rsidR="00533566" w:rsidRPr="00533566">
        <w:rPr>
          <w:rFonts w:ascii="Times New Roman" w:hAnsi="Times New Roman" w:cs="Times New Roman"/>
          <w:sz w:val="24"/>
          <w:szCs w:val="24"/>
        </w:rPr>
        <w:t xml:space="preserve"> or</w:t>
      </w:r>
      <w:r w:rsidR="00533566">
        <w:rPr>
          <w:rFonts w:ascii="Times New Roman" w:hAnsi="Times New Roman" w:cs="Times New Roman"/>
          <w:sz w:val="24"/>
          <w:szCs w:val="24"/>
        </w:rPr>
        <w:t xml:space="preserve"> evidence </w:t>
      </w:r>
      <w:r w:rsidR="00533566" w:rsidRPr="00533566">
        <w:rPr>
          <w:rFonts w:ascii="Times New Roman" w:hAnsi="Times New Roman" w:cs="Times New Roman"/>
          <w:sz w:val="24"/>
          <w:szCs w:val="24"/>
        </w:rPr>
        <w:t xml:space="preserve"> that the t</w:t>
      </w:r>
      <w:r w:rsidR="00533566">
        <w:rPr>
          <w:rFonts w:ascii="Times New Roman" w:hAnsi="Times New Roman" w:cs="Times New Roman"/>
          <w:sz w:val="24"/>
          <w:szCs w:val="24"/>
        </w:rPr>
        <w:t xml:space="preserve">wo </w:t>
      </w:r>
      <w:r w:rsidR="00533566" w:rsidRPr="00533566">
        <w:rPr>
          <w:rFonts w:ascii="Times New Roman" w:hAnsi="Times New Roman" w:cs="Times New Roman"/>
          <w:sz w:val="24"/>
          <w:szCs w:val="24"/>
        </w:rPr>
        <w:t>officers</w:t>
      </w:r>
      <w:r w:rsidR="00533566">
        <w:rPr>
          <w:rFonts w:ascii="Times New Roman" w:hAnsi="Times New Roman" w:cs="Times New Roman"/>
          <w:sz w:val="24"/>
          <w:szCs w:val="24"/>
        </w:rPr>
        <w:t xml:space="preserve">’ conduct </w:t>
      </w:r>
      <w:r w:rsidR="00533566" w:rsidRPr="00533566">
        <w:rPr>
          <w:rFonts w:ascii="Times New Roman" w:hAnsi="Times New Roman" w:cs="Times New Roman"/>
          <w:sz w:val="24"/>
          <w:szCs w:val="24"/>
        </w:rPr>
        <w:t xml:space="preserve"> set in motion</w:t>
      </w:r>
      <w:r w:rsidR="00533566">
        <w:rPr>
          <w:rFonts w:ascii="Times New Roman" w:hAnsi="Times New Roman" w:cs="Times New Roman"/>
          <w:sz w:val="24"/>
          <w:szCs w:val="24"/>
        </w:rPr>
        <w:t xml:space="preserve"> acts that they reasonably should have known would </w:t>
      </w:r>
      <w:r w:rsidR="00533566">
        <w:rPr>
          <w:rFonts w:ascii="Times New Roman" w:hAnsi="Times New Roman" w:cs="Times New Roman"/>
          <w:sz w:val="24"/>
          <w:szCs w:val="24"/>
        </w:rPr>
        <w:lastRenderedPageBreak/>
        <w:t>cause the third officer to engage in unlawful conduct)</w:t>
      </w:r>
      <w:r w:rsidRPr="000A255E">
        <w:rPr>
          <w:rFonts w:ascii="Times New Roman" w:hAnsi="Times New Roman" w:cs="Times New Roman"/>
          <w:sz w:val="24"/>
          <w:szCs w:val="24"/>
        </w:rPr>
        <w:t xml:space="preserve">. </w:t>
      </w:r>
      <w:bookmarkEnd w:id="0"/>
      <w:r w:rsidRPr="000A255E">
        <w:rPr>
          <w:rFonts w:ascii="Times New Roman" w:hAnsi="Times New Roman" w:cs="Times New Roman"/>
          <w:sz w:val="24"/>
          <w:szCs w:val="24"/>
        </w:rPr>
        <w:t>When liability is alleged against a defendant as an integral participant on this basis, the model instruction stated above will need to be modified.</w:t>
      </w:r>
    </w:p>
    <w:p w14:paraId="644432E7" w14:textId="77777777" w:rsidR="00A876DE" w:rsidRPr="000A255E" w:rsidRDefault="00A876DE" w:rsidP="00A876DE">
      <w:pPr>
        <w:spacing w:after="0" w:line="240" w:lineRule="auto"/>
        <w:jc w:val="both"/>
        <w:rPr>
          <w:rFonts w:ascii="Times New Roman" w:hAnsi="Times New Roman" w:cs="Times New Roman"/>
          <w:sz w:val="24"/>
          <w:szCs w:val="24"/>
        </w:rPr>
      </w:pPr>
    </w:p>
    <w:p w14:paraId="2761C43A" w14:textId="2E5AB808" w:rsidR="00A876DE" w:rsidRPr="000A255E" w:rsidRDefault="00A876DE" w:rsidP="00A876DE">
      <w:pPr>
        <w:spacing w:after="0" w:line="240" w:lineRule="auto"/>
        <w:jc w:val="center"/>
        <w:rPr>
          <w:rFonts w:ascii="Times New Roman" w:hAnsi="Times New Roman" w:cs="Times New Roman"/>
          <w:b/>
          <w:bCs/>
          <w:sz w:val="24"/>
          <w:szCs w:val="24"/>
        </w:rPr>
      </w:pPr>
      <w:r w:rsidRPr="000A255E">
        <w:rPr>
          <w:rFonts w:ascii="Times New Roman" w:hAnsi="Times New Roman" w:cs="Times New Roman"/>
          <w:b/>
          <w:bCs/>
          <w:sz w:val="24"/>
          <w:szCs w:val="24"/>
        </w:rPr>
        <w:t>Deliberate Fabrication</w:t>
      </w:r>
    </w:p>
    <w:p w14:paraId="6952E1E5" w14:textId="77777777" w:rsidR="00A876DE" w:rsidRPr="000A255E" w:rsidRDefault="00A876DE" w:rsidP="00A876DE">
      <w:pPr>
        <w:spacing w:after="0" w:line="240" w:lineRule="auto"/>
        <w:jc w:val="center"/>
        <w:rPr>
          <w:rFonts w:ascii="Times New Roman" w:hAnsi="Times New Roman" w:cs="Times New Roman"/>
          <w:sz w:val="24"/>
          <w:szCs w:val="24"/>
        </w:rPr>
      </w:pPr>
    </w:p>
    <w:p w14:paraId="1F8B16CC" w14:textId="2E8445A6" w:rsidR="004C21AD" w:rsidRDefault="00A876DE" w:rsidP="00654FA6">
      <w:pPr>
        <w:spacing w:after="0" w:line="240" w:lineRule="auto"/>
        <w:ind w:firstLine="720"/>
        <w:jc w:val="both"/>
        <w:rPr>
          <w:rFonts w:ascii="Times New Roman" w:hAnsi="Times New Roman" w:cs="Times New Roman"/>
          <w:sz w:val="24"/>
          <w:szCs w:val="24"/>
        </w:rPr>
      </w:pPr>
      <w:r w:rsidRPr="000A255E">
        <w:rPr>
          <w:rFonts w:ascii="Times New Roman" w:hAnsi="Times New Roman" w:cs="Times New Roman"/>
          <w:sz w:val="24"/>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0A255E">
        <w:rPr>
          <w:rFonts w:ascii="Times New Roman" w:hAnsi="Times New Roman" w:cs="Times New Roman"/>
          <w:i/>
          <w:iCs/>
          <w:sz w:val="24"/>
          <w:szCs w:val="24"/>
        </w:rPr>
        <w:t xml:space="preserve">Caldwell v. City &amp; </w:t>
      </w:r>
      <w:proofErr w:type="spellStart"/>
      <w:r w:rsidRPr="000A255E">
        <w:rPr>
          <w:rFonts w:ascii="Times New Roman" w:hAnsi="Times New Roman" w:cs="Times New Roman"/>
          <w:i/>
          <w:iCs/>
          <w:sz w:val="24"/>
          <w:szCs w:val="24"/>
        </w:rPr>
        <w:t>Cnty</w:t>
      </w:r>
      <w:proofErr w:type="spellEnd"/>
      <w:r w:rsidRPr="000A255E">
        <w:rPr>
          <w:rFonts w:ascii="Times New Roman" w:hAnsi="Times New Roman" w:cs="Times New Roman"/>
          <w:i/>
          <w:iCs/>
          <w:sz w:val="24"/>
          <w:szCs w:val="24"/>
        </w:rPr>
        <w:t>. of San Francisco</w:t>
      </w:r>
      <w:r w:rsidRPr="000A255E">
        <w:rPr>
          <w:rFonts w:ascii="Times New Roman" w:hAnsi="Times New Roman" w:cs="Times New Roman"/>
          <w:sz w:val="24"/>
          <w:szCs w:val="24"/>
        </w:rPr>
        <w:t xml:space="preserve">, 889 F.3d 1105, 1115 (9th Cir. 2018) (quoting </w:t>
      </w:r>
      <w:r w:rsidRPr="000A255E">
        <w:rPr>
          <w:rFonts w:ascii="Times New Roman" w:hAnsi="Times New Roman" w:cs="Times New Roman"/>
          <w:i/>
          <w:iCs/>
          <w:sz w:val="24"/>
          <w:szCs w:val="24"/>
        </w:rPr>
        <w:t>Smiddy v. Varney</w:t>
      </w:r>
      <w:r w:rsidRPr="000A255E">
        <w:rPr>
          <w:rFonts w:ascii="Times New Roman" w:hAnsi="Times New Roman" w:cs="Times New Roman"/>
          <w:sz w:val="24"/>
          <w:szCs w:val="24"/>
        </w:rPr>
        <w:t xml:space="preserve">, 665 F.2d 261, 266 (9th Cir. 1981), </w:t>
      </w:r>
      <w:r w:rsidRPr="000A255E">
        <w:rPr>
          <w:rFonts w:ascii="Times New Roman" w:hAnsi="Times New Roman" w:cs="Times New Roman"/>
          <w:i/>
          <w:iCs/>
          <w:sz w:val="24"/>
          <w:szCs w:val="24"/>
        </w:rPr>
        <w:t>overruled on other grounds by Beck v. City of Upland</w:t>
      </w:r>
      <w:r w:rsidRPr="000A255E">
        <w:rPr>
          <w:rFonts w:ascii="Times New Roman" w:hAnsi="Times New Roman" w:cs="Times New Roman"/>
          <w:sz w:val="24"/>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008D5960" w:rsidRPr="000A255E">
        <w:rPr>
          <w:rFonts w:ascii="Times New Roman" w:hAnsi="Times New Roman" w:cs="Times New Roman"/>
          <w:i/>
          <w:iCs/>
          <w:sz w:val="24"/>
          <w:szCs w:val="24"/>
        </w:rPr>
        <w:t>Caldwell</w:t>
      </w:r>
      <w:r w:rsidR="008D5960" w:rsidRPr="000A255E">
        <w:rPr>
          <w:rFonts w:ascii="Times New Roman" w:hAnsi="Times New Roman" w:cs="Times New Roman"/>
          <w:sz w:val="24"/>
          <w:szCs w:val="24"/>
        </w:rPr>
        <w:t xml:space="preserve">, 889 F.3d </w:t>
      </w:r>
      <w:r w:rsidRPr="000A255E">
        <w:rPr>
          <w:rFonts w:ascii="Times New Roman" w:hAnsi="Times New Roman" w:cs="Times New Roman"/>
          <w:sz w:val="24"/>
          <w:szCs w:val="24"/>
        </w:rPr>
        <w:t xml:space="preserve">at 1116. At that point, “the analysis reverts back to a normal causation question” and the issue again becomes whether the fabricated evidence was the cause in fact and proximate cause of the plaintiff’s injury.  </w:t>
      </w:r>
      <w:r w:rsidRPr="000A255E">
        <w:rPr>
          <w:rFonts w:ascii="Times New Roman" w:hAnsi="Times New Roman" w:cs="Times New Roman"/>
          <w:i/>
          <w:iCs/>
          <w:sz w:val="24"/>
          <w:szCs w:val="24"/>
        </w:rPr>
        <w:t>Id</w:t>
      </w:r>
      <w:r w:rsidRPr="000A255E">
        <w:rPr>
          <w:rFonts w:ascii="Times New Roman" w:hAnsi="Times New Roman" w:cs="Times New Roman"/>
          <w:sz w:val="24"/>
          <w:szCs w:val="24"/>
        </w:rPr>
        <w:t>. at 1115-16.</w:t>
      </w:r>
    </w:p>
    <w:p w14:paraId="35964580" w14:textId="77777777" w:rsidR="00654FA6" w:rsidRDefault="00654FA6" w:rsidP="00654FA6">
      <w:pPr>
        <w:spacing w:after="0" w:line="240" w:lineRule="auto"/>
        <w:ind w:firstLine="720"/>
        <w:jc w:val="both"/>
        <w:rPr>
          <w:rFonts w:ascii="Times New Roman" w:hAnsi="Times New Roman" w:cs="Times New Roman"/>
          <w:sz w:val="24"/>
          <w:szCs w:val="24"/>
        </w:rPr>
      </w:pPr>
    </w:p>
    <w:p w14:paraId="762D0DE5" w14:textId="65F91442" w:rsidR="00A876DE" w:rsidRPr="000A255E" w:rsidRDefault="00A876DE" w:rsidP="00A876DE">
      <w:pPr>
        <w:spacing w:after="0" w:line="240" w:lineRule="auto"/>
        <w:jc w:val="center"/>
        <w:rPr>
          <w:rFonts w:ascii="Times New Roman" w:hAnsi="Times New Roman" w:cs="Times New Roman"/>
          <w:b/>
          <w:bCs/>
          <w:sz w:val="24"/>
          <w:szCs w:val="24"/>
        </w:rPr>
      </w:pPr>
      <w:r w:rsidRPr="000A255E">
        <w:rPr>
          <w:rFonts w:ascii="Times New Roman" w:hAnsi="Times New Roman" w:cs="Times New Roman"/>
          <w:b/>
          <w:bCs/>
          <w:sz w:val="24"/>
          <w:szCs w:val="24"/>
        </w:rPr>
        <w:t>First Amendment Retaliation Claims</w:t>
      </w:r>
    </w:p>
    <w:p w14:paraId="25CD8C1A" w14:textId="77777777" w:rsidR="00A876DE" w:rsidRPr="000A255E" w:rsidRDefault="00A876DE" w:rsidP="00A876DE">
      <w:pPr>
        <w:spacing w:after="0" w:line="240" w:lineRule="auto"/>
        <w:jc w:val="center"/>
        <w:rPr>
          <w:rFonts w:ascii="Times New Roman" w:hAnsi="Times New Roman" w:cs="Times New Roman"/>
          <w:sz w:val="24"/>
          <w:szCs w:val="24"/>
        </w:rPr>
      </w:pPr>
    </w:p>
    <w:p w14:paraId="397B11BD" w14:textId="59847DC3" w:rsidR="00A876DE" w:rsidRPr="000A255E" w:rsidRDefault="00A876DE" w:rsidP="00A876DE">
      <w:pPr>
        <w:spacing w:after="0" w:line="240" w:lineRule="auto"/>
        <w:ind w:firstLine="720"/>
        <w:jc w:val="both"/>
        <w:rPr>
          <w:rFonts w:ascii="Times New Roman" w:hAnsi="Times New Roman" w:cs="Times New Roman"/>
          <w:sz w:val="24"/>
          <w:szCs w:val="24"/>
        </w:rPr>
      </w:pPr>
      <w:r w:rsidRPr="000A255E">
        <w:rPr>
          <w:rFonts w:ascii="Times New Roman" w:hAnsi="Times New Roman" w:cs="Times New Roman"/>
          <w:sz w:val="24"/>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Amendment—“Citizen” Plaintiff).</w:t>
      </w:r>
    </w:p>
    <w:p w14:paraId="04CCDC24" w14:textId="77777777" w:rsidR="00A876DE" w:rsidRPr="000A255E" w:rsidRDefault="00A876DE" w:rsidP="00A876DE">
      <w:pPr>
        <w:spacing w:after="0" w:line="240" w:lineRule="auto"/>
        <w:ind w:firstLine="720"/>
        <w:jc w:val="both"/>
        <w:rPr>
          <w:rFonts w:ascii="Times New Roman" w:hAnsi="Times New Roman" w:cs="Times New Roman"/>
          <w:sz w:val="24"/>
          <w:szCs w:val="24"/>
        </w:rPr>
      </w:pPr>
    </w:p>
    <w:p w14:paraId="416449C4" w14:textId="4225FCE9" w:rsidR="00A876DE" w:rsidRPr="000A255E" w:rsidRDefault="00A876DE" w:rsidP="00A876DE">
      <w:pPr>
        <w:spacing w:after="0" w:line="240" w:lineRule="auto"/>
        <w:jc w:val="center"/>
        <w:rPr>
          <w:rFonts w:ascii="Times New Roman" w:hAnsi="Times New Roman" w:cs="Times New Roman"/>
          <w:b/>
          <w:bCs/>
          <w:sz w:val="24"/>
          <w:szCs w:val="24"/>
        </w:rPr>
      </w:pPr>
      <w:r w:rsidRPr="000A255E">
        <w:rPr>
          <w:rFonts w:ascii="Times New Roman" w:hAnsi="Times New Roman" w:cs="Times New Roman"/>
          <w:b/>
          <w:bCs/>
          <w:i/>
          <w:iCs/>
          <w:sz w:val="24"/>
          <w:szCs w:val="24"/>
        </w:rPr>
        <w:t>Monell</w:t>
      </w:r>
      <w:r w:rsidRPr="000A255E">
        <w:rPr>
          <w:rFonts w:ascii="Times New Roman" w:hAnsi="Times New Roman" w:cs="Times New Roman"/>
          <w:b/>
          <w:bCs/>
          <w:sz w:val="24"/>
          <w:szCs w:val="24"/>
        </w:rPr>
        <w:t xml:space="preserve"> Claims</w:t>
      </w:r>
    </w:p>
    <w:p w14:paraId="46645A73" w14:textId="77777777" w:rsidR="00A876DE" w:rsidRPr="000A255E" w:rsidRDefault="00A876DE" w:rsidP="00A876DE">
      <w:pPr>
        <w:spacing w:after="0" w:line="240" w:lineRule="auto"/>
        <w:jc w:val="center"/>
        <w:rPr>
          <w:rFonts w:ascii="Times New Roman" w:hAnsi="Times New Roman" w:cs="Times New Roman"/>
          <w:sz w:val="24"/>
          <w:szCs w:val="24"/>
        </w:rPr>
      </w:pPr>
    </w:p>
    <w:p w14:paraId="3F6EB055" w14:textId="2D6017BF" w:rsidR="00A876DE" w:rsidRPr="00A876DE" w:rsidRDefault="00A876DE" w:rsidP="00A876DE">
      <w:pPr>
        <w:spacing w:after="0" w:line="240" w:lineRule="auto"/>
        <w:ind w:firstLine="720"/>
        <w:jc w:val="both"/>
        <w:rPr>
          <w:rFonts w:ascii="Times New Roman" w:hAnsi="Times New Roman" w:cs="Times New Roman"/>
          <w:sz w:val="24"/>
          <w:szCs w:val="24"/>
        </w:rPr>
      </w:pPr>
      <w:r w:rsidRPr="000A255E">
        <w:rPr>
          <w:rFonts w:ascii="Times New Roman" w:hAnsi="Times New Roman" w:cs="Times New Roman"/>
          <w:sz w:val="24"/>
          <w:szCs w:val="24"/>
        </w:rPr>
        <w:t xml:space="preserve">“Under </w:t>
      </w:r>
      <w:r w:rsidRPr="000A255E">
        <w:rPr>
          <w:rFonts w:ascii="Times New Roman" w:hAnsi="Times New Roman" w:cs="Times New Roman"/>
          <w:i/>
          <w:iCs/>
          <w:sz w:val="24"/>
          <w:szCs w:val="24"/>
        </w:rPr>
        <w:t>Monell</w:t>
      </w:r>
      <w:r w:rsidRPr="000A255E">
        <w:rPr>
          <w:rFonts w:ascii="Times New Roman" w:hAnsi="Times New Roman" w:cs="Times New Roman"/>
          <w:sz w:val="24"/>
          <w:szCs w:val="24"/>
        </w:rPr>
        <w:t xml:space="preserve">, a plaintiff must also show that the policy at issue was the ‘actionable cause’ of the constitutional violation, which requires showing both but for and proximate causation.”  </w:t>
      </w:r>
      <w:r w:rsidRPr="000A255E">
        <w:rPr>
          <w:rFonts w:ascii="Times New Roman" w:hAnsi="Times New Roman" w:cs="Times New Roman"/>
          <w:i/>
          <w:iCs/>
          <w:sz w:val="24"/>
          <w:szCs w:val="24"/>
        </w:rPr>
        <w:t>Tsao v. Desert Palace, Inc.</w:t>
      </w:r>
      <w:r w:rsidRPr="000A255E">
        <w:rPr>
          <w:rFonts w:ascii="Times New Roman" w:hAnsi="Times New Roman" w:cs="Times New Roman"/>
          <w:sz w:val="24"/>
          <w:szCs w:val="24"/>
        </w:rPr>
        <w:t xml:space="preserve">, 698 F.3d 1128, 1146 (9th Cir. 2012) (citing </w:t>
      </w:r>
      <w:r w:rsidRPr="000A255E">
        <w:rPr>
          <w:rFonts w:ascii="Times New Roman" w:hAnsi="Times New Roman" w:cs="Times New Roman"/>
          <w:i/>
          <w:iCs/>
          <w:sz w:val="24"/>
          <w:szCs w:val="24"/>
        </w:rPr>
        <w:t>Harper</w:t>
      </w:r>
      <w:r w:rsidRPr="000A255E">
        <w:rPr>
          <w:rFonts w:ascii="Times New Roman" w:hAnsi="Times New Roman" w:cs="Times New Roman"/>
          <w:sz w:val="24"/>
          <w:szCs w:val="24"/>
        </w:rPr>
        <w:t>, 533 F.3d at 1026).  Regardless of what theory the plaintiff employs to establish municipal liability— policy, custom, or failure to train— the plaintiff must establish that the policy or custom is the “moving force” behind the constitutional violation.</w:t>
      </w:r>
      <w:r w:rsidRPr="000A255E">
        <w:rPr>
          <w:rFonts w:ascii="Times New Roman" w:hAnsi="Times New Roman" w:cs="Times New Roman"/>
          <w:i/>
          <w:iCs/>
          <w:sz w:val="24"/>
          <w:szCs w:val="24"/>
        </w:rPr>
        <w:t xml:space="preserve"> City of Canton v. Harris</w:t>
      </w:r>
      <w:r w:rsidRPr="000A255E">
        <w:rPr>
          <w:rFonts w:ascii="Times New Roman" w:hAnsi="Times New Roman" w:cs="Times New Roman"/>
          <w:sz w:val="24"/>
          <w:szCs w:val="24"/>
        </w:rPr>
        <w:t>, 489 U.S. 378, 389 (1989);</w:t>
      </w:r>
      <w:r w:rsidRPr="000A255E">
        <w:rPr>
          <w:sz w:val="24"/>
          <w:szCs w:val="24"/>
        </w:rPr>
        <w:t xml:space="preserve"> </w:t>
      </w:r>
      <w:r w:rsidRPr="000A255E">
        <w:rPr>
          <w:rFonts w:ascii="Times New Roman" w:hAnsi="Times New Roman" w:cs="Times New Roman"/>
          <w:i/>
          <w:iCs/>
          <w:sz w:val="24"/>
          <w:szCs w:val="24"/>
        </w:rPr>
        <w:t xml:space="preserve">see </w:t>
      </w:r>
      <w:proofErr w:type="spellStart"/>
      <w:r w:rsidRPr="000A255E">
        <w:rPr>
          <w:rFonts w:ascii="Times New Roman" w:hAnsi="Times New Roman" w:cs="Times New Roman"/>
          <w:i/>
          <w:iCs/>
          <w:sz w:val="24"/>
          <w:szCs w:val="24"/>
        </w:rPr>
        <w:t>Gravelet</w:t>
      </w:r>
      <w:proofErr w:type="spellEnd"/>
      <w:r w:rsidRPr="000A255E">
        <w:rPr>
          <w:rFonts w:ascii="Times New Roman" w:hAnsi="Times New Roman" w:cs="Times New Roman"/>
          <w:i/>
          <w:iCs/>
          <w:sz w:val="24"/>
          <w:szCs w:val="24"/>
        </w:rPr>
        <w:t>-Blondin v. Shelton</w:t>
      </w:r>
      <w:r w:rsidRPr="000A255E">
        <w:rPr>
          <w:rFonts w:ascii="Times New Roman" w:hAnsi="Times New Roman" w:cs="Times New Roman"/>
          <w:sz w:val="24"/>
          <w:szCs w:val="24"/>
        </w:rPr>
        <w:t xml:space="preserve">, 728 F.3d 1086, 1096 (9th Cir. 2013).  To meet the moving force requirement, “the plaintiff must show both causation-in-fact and proximate causation.”  </w:t>
      </w:r>
      <w:proofErr w:type="spellStart"/>
      <w:r w:rsidRPr="000A255E">
        <w:rPr>
          <w:rFonts w:ascii="Times New Roman" w:hAnsi="Times New Roman" w:cs="Times New Roman"/>
          <w:i/>
          <w:iCs/>
          <w:sz w:val="24"/>
          <w:szCs w:val="24"/>
        </w:rPr>
        <w:t>Gravelet</w:t>
      </w:r>
      <w:proofErr w:type="spellEnd"/>
      <w:r w:rsidRPr="000A255E">
        <w:rPr>
          <w:rFonts w:ascii="Times New Roman" w:hAnsi="Times New Roman" w:cs="Times New Roman"/>
          <w:i/>
          <w:iCs/>
          <w:sz w:val="24"/>
          <w:szCs w:val="24"/>
        </w:rPr>
        <w:t>-Blondin</w:t>
      </w:r>
      <w:r w:rsidRPr="000A255E">
        <w:rPr>
          <w:rFonts w:ascii="Times New Roman" w:hAnsi="Times New Roman" w:cs="Times New Roman"/>
          <w:sz w:val="24"/>
          <w:szCs w:val="24"/>
        </w:rPr>
        <w:t xml:space="preserve">, 728 F.3d at 1096.  If the plaintiff relies on the theory of ratification, </w:t>
      </w:r>
      <w:r w:rsidRPr="000A255E">
        <w:rPr>
          <w:rFonts w:ascii="Times New Roman" w:hAnsi="Times New Roman" w:cs="Times New Roman"/>
          <w:i/>
          <w:iCs/>
          <w:sz w:val="24"/>
          <w:szCs w:val="24"/>
        </w:rPr>
        <w:t>see</w:t>
      </w:r>
      <w:r w:rsidRPr="000A255E">
        <w:rPr>
          <w:rFonts w:ascii="Times New Roman" w:hAnsi="Times New Roman" w:cs="Times New Roman"/>
          <w:sz w:val="24"/>
          <w:szCs w:val="24"/>
        </w:rPr>
        <w:t xml:space="preserve"> Instruction 9.7 (Section 1983 Claim Against Local Governing Body Defendants Based on Ratification— </w:t>
      </w:r>
      <w:r w:rsidRPr="00A876DE">
        <w:rPr>
          <w:rFonts w:ascii="Times New Roman" w:hAnsi="Times New Roman" w:cs="Times New Roman"/>
          <w:sz w:val="24"/>
          <w:szCs w:val="24"/>
        </w:rPr>
        <w:t>Elements and Burden of Proof), which discusses ratification and causation.</w:t>
      </w:r>
    </w:p>
    <w:p w14:paraId="6D1C4DB0" w14:textId="77777777" w:rsidR="00A876DE" w:rsidRPr="00A876DE" w:rsidRDefault="00A876DE" w:rsidP="00A876DE">
      <w:pPr>
        <w:spacing w:after="0" w:line="240" w:lineRule="auto"/>
        <w:ind w:firstLine="720"/>
        <w:jc w:val="both"/>
        <w:rPr>
          <w:rFonts w:ascii="Times New Roman" w:hAnsi="Times New Roman" w:cs="Times New Roman"/>
          <w:sz w:val="24"/>
          <w:szCs w:val="24"/>
        </w:rPr>
      </w:pPr>
    </w:p>
    <w:p w14:paraId="146F7556" w14:textId="71DD58FD" w:rsidR="00A876DE" w:rsidRPr="00A876DE" w:rsidRDefault="00A876DE" w:rsidP="00A876DE">
      <w:pPr>
        <w:spacing w:after="0" w:line="240" w:lineRule="auto"/>
        <w:ind w:firstLine="720"/>
        <w:jc w:val="both"/>
        <w:rPr>
          <w:rFonts w:ascii="Times New Roman" w:hAnsi="Times New Roman" w:cs="Times New Roman"/>
          <w:sz w:val="24"/>
          <w:szCs w:val="24"/>
        </w:rPr>
      </w:pPr>
      <w:r w:rsidRPr="00A876DE">
        <w:rPr>
          <w:rFonts w:ascii="Times New Roman" w:hAnsi="Times New Roman" w:cs="Times New Roman"/>
          <w:sz w:val="24"/>
          <w:szCs w:val="24"/>
        </w:rPr>
        <w:t xml:space="preserve">In </w:t>
      </w:r>
      <w:r w:rsidRPr="00A876DE">
        <w:rPr>
          <w:rFonts w:ascii="Times New Roman" w:hAnsi="Times New Roman" w:cs="Times New Roman"/>
          <w:i/>
          <w:iCs/>
          <w:sz w:val="24"/>
          <w:szCs w:val="24"/>
        </w:rPr>
        <w:t>Oviatt v. Pearce</w:t>
      </w:r>
      <w:r w:rsidRPr="00A876DE">
        <w:rPr>
          <w:rFonts w:ascii="Times New Roman" w:hAnsi="Times New Roman" w:cs="Times New Roman"/>
          <w:sz w:val="24"/>
          <w:szCs w:val="24"/>
        </w:rPr>
        <w:t xml:space="preserve">, 954 F.2d 1470, 1481 (9th Cir. 1992), the Ninth Circuit approved the trial court’s “moving force” instruction on causation in a § 1983 </w:t>
      </w:r>
      <w:r w:rsidRPr="00A876DE">
        <w:rPr>
          <w:rFonts w:ascii="Times New Roman" w:hAnsi="Times New Roman" w:cs="Times New Roman"/>
          <w:i/>
          <w:iCs/>
          <w:sz w:val="24"/>
          <w:szCs w:val="24"/>
        </w:rPr>
        <w:t>Monell</w:t>
      </w:r>
      <w:r w:rsidRPr="00A876DE">
        <w:rPr>
          <w:rFonts w:ascii="Times New Roman" w:hAnsi="Times New Roman" w:cs="Times New Roman"/>
          <w:sz w:val="24"/>
          <w:szCs w:val="24"/>
        </w:rPr>
        <w:t xml:space="preserve"> claim as follows: </w:t>
      </w:r>
    </w:p>
    <w:p w14:paraId="18876DA7" w14:textId="77777777" w:rsidR="001915C5" w:rsidRPr="00A876DE" w:rsidRDefault="001915C5" w:rsidP="00DC5DD9">
      <w:pPr>
        <w:spacing w:after="0" w:line="240" w:lineRule="auto"/>
        <w:jc w:val="both"/>
        <w:rPr>
          <w:rFonts w:ascii="Times New Roman" w:hAnsi="Times New Roman" w:cs="Times New Roman"/>
          <w:sz w:val="24"/>
          <w:szCs w:val="24"/>
        </w:rPr>
      </w:pPr>
    </w:p>
    <w:p w14:paraId="12F53086" w14:textId="00C12A4F" w:rsidR="00A876DE" w:rsidRPr="00A876DE" w:rsidRDefault="00A876DE" w:rsidP="00DC5DD9">
      <w:pPr>
        <w:spacing w:after="0" w:line="240" w:lineRule="auto"/>
        <w:ind w:left="720" w:right="720"/>
        <w:jc w:val="both"/>
        <w:rPr>
          <w:rFonts w:ascii="Times New Roman" w:hAnsi="Times New Roman" w:cs="Times New Roman"/>
          <w:sz w:val="24"/>
          <w:szCs w:val="24"/>
        </w:rPr>
      </w:pPr>
      <w:r w:rsidRPr="00A876DE">
        <w:rPr>
          <w:rFonts w:ascii="Times New Roman" w:hAnsi="Times New Roman" w:cs="Times New Roman"/>
          <w:sz w:val="24"/>
          <w:szCs w:val="24"/>
        </w:rPr>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A876DE">
        <w:rPr>
          <w:rFonts w:ascii="Times New Roman" w:hAnsi="Times New Roman" w:cs="Times New Roman"/>
          <w:i/>
          <w:iCs/>
          <w:sz w:val="24"/>
          <w:szCs w:val="24"/>
        </w:rPr>
        <w:t>City of Canton</w:t>
      </w:r>
      <w:r w:rsidRPr="00A876DE">
        <w:rPr>
          <w:rFonts w:ascii="Times New Roman" w:hAnsi="Times New Roman" w:cs="Times New Roman"/>
          <w:sz w:val="24"/>
          <w:szCs w:val="24"/>
        </w:rPr>
        <w:t xml:space="preserve">, we find that it correctly stated the law and adequately covered the issue of causation.  </w:t>
      </w:r>
      <w:r w:rsidRPr="00A876DE">
        <w:rPr>
          <w:rFonts w:ascii="Times New Roman" w:hAnsi="Times New Roman" w:cs="Times New Roman"/>
          <w:i/>
          <w:iCs/>
          <w:sz w:val="24"/>
          <w:szCs w:val="24"/>
        </w:rPr>
        <w:t>See City of Canton</w:t>
      </w:r>
      <w:r w:rsidRPr="00A876DE">
        <w:rPr>
          <w:rFonts w:ascii="Times New Roman" w:hAnsi="Times New Roman" w:cs="Times New Roman"/>
          <w:sz w:val="24"/>
          <w:szCs w:val="24"/>
        </w:rPr>
        <w:t xml:space="preserve">, 489 U.S. at 391 (“the identified deficiency in a city’s </w:t>
      </w:r>
      <w:r w:rsidRPr="00A876DE">
        <w:rPr>
          <w:rFonts w:ascii="Times New Roman" w:hAnsi="Times New Roman" w:cs="Times New Roman"/>
          <w:sz w:val="24"/>
          <w:szCs w:val="24"/>
        </w:rPr>
        <w:lastRenderedPageBreak/>
        <w:t xml:space="preserve">training program must be </w:t>
      </w:r>
      <w:r w:rsidRPr="00A876DE">
        <w:rPr>
          <w:rFonts w:ascii="Times New Roman" w:hAnsi="Times New Roman" w:cs="Times New Roman"/>
          <w:i/>
          <w:iCs/>
          <w:sz w:val="24"/>
          <w:szCs w:val="24"/>
        </w:rPr>
        <w:t>closely related to the ultimate injury</w:t>
      </w:r>
      <w:r w:rsidRPr="00A876DE">
        <w:rPr>
          <w:rFonts w:ascii="Times New Roman" w:hAnsi="Times New Roman" w:cs="Times New Roman"/>
          <w:sz w:val="24"/>
          <w:szCs w:val="24"/>
        </w:rPr>
        <w:t>.”) (emphasis in original).</w:t>
      </w:r>
    </w:p>
    <w:p w14:paraId="0D80C2AA" w14:textId="77777777" w:rsidR="00A876DE" w:rsidRPr="00A876DE" w:rsidRDefault="00A876DE" w:rsidP="00A876DE">
      <w:pPr>
        <w:spacing w:after="0" w:line="240" w:lineRule="auto"/>
        <w:ind w:left="720" w:right="720" w:firstLine="720"/>
        <w:jc w:val="both"/>
        <w:rPr>
          <w:rFonts w:ascii="Times New Roman" w:hAnsi="Times New Roman" w:cs="Times New Roman"/>
          <w:sz w:val="24"/>
          <w:szCs w:val="24"/>
        </w:rPr>
      </w:pPr>
    </w:p>
    <w:p w14:paraId="635334B5" w14:textId="1FB89C73" w:rsidR="00A876DE" w:rsidRPr="00A876DE" w:rsidRDefault="00A876DE" w:rsidP="00A876DE">
      <w:pPr>
        <w:spacing w:after="0" w:line="240" w:lineRule="auto"/>
        <w:jc w:val="center"/>
        <w:rPr>
          <w:rFonts w:ascii="Times New Roman" w:hAnsi="Times New Roman" w:cs="Times New Roman"/>
          <w:b/>
          <w:bCs/>
          <w:sz w:val="24"/>
          <w:szCs w:val="24"/>
        </w:rPr>
      </w:pPr>
      <w:r w:rsidRPr="00A876DE">
        <w:rPr>
          <w:rFonts w:ascii="Times New Roman" w:hAnsi="Times New Roman" w:cs="Times New Roman"/>
          <w:b/>
          <w:bCs/>
          <w:sz w:val="24"/>
          <w:szCs w:val="24"/>
        </w:rPr>
        <w:t>Concurrent Cause</w:t>
      </w:r>
    </w:p>
    <w:p w14:paraId="08569899" w14:textId="77777777" w:rsidR="00A876DE" w:rsidRPr="00A876DE" w:rsidRDefault="00A876DE" w:rsidP="00A876DE">
      <w:pPr>
        <w:spacing w:after="0" w:line="240" w:lineRule="auto"/>
        <w:jc w:val="center"/>
        <w:rPr>
          <w:rFonts w:ascii="Times New Roman" w:hAnsi="Times New Roman" w:cs="Times New Roman"/>
          <w:sz w:val="24"/>
          <w:szCs w:val="24"/>
        </w:rPr>
      </w:pPr>
    </w:p>
    <w:p w14:paraId="0047F80C" w14:textId="222EC0CB" w:rsidR="00FE7F82" w:rsidRPr="00A876DE" w:rsidRDefault="00A876DE" w:rsidP="00A876DE">
      <w:pPr>
        <w:spacing w:after="0" w:line="240" w:lineRule="auto"/>
        <w:ind w:firstLine="720"/>
        <w:jc w:val="both"/>
        <w:rPr>
          <w:rFonts w:ascii="Times New Roman" w:hAnsi="Times New Roman" w:cs="Times New Roman"/>
          <w:sz w:val="24"/>
          <w:szCs w:val="24"/>
        </w:rPr>
      </w:pPr>
      <w:r w:rsidRPr="00A876DE">
        <w:rPr>
          <w:rFonts w:ascii="Times New Roman" w:hAnsi="Times New Roman" w:cs="Times New Roman"/>
          <w:sz w:val="24"/>
          <w:szCs w:val="24"/>
        </w:rPr>
        <w:t xml:space="preserve">In </w:t>
      </w:r>
      <w:r w:rsidRPr="00A876DE">
        <w:rPr>
          <w:rFonts w:ascii="Times New Roman" w:hAnsi="Times New Roman" w:cs="Times New Roman"/>
          <w:i/>
          <w:iCs/>
          <w:sz w:val="24"/>
          <w:szCs w:val="24"/>
        </w:rPr>
        <w:t>Jones v. Williams</w:t>
      </w:r>
      <w:r w:rsidRPr="00A876DE">
        <w:rPr>
          <w:rFonts w:ascii="Times New Roman" w:hAnsi="Times New Roman" w:cs="Times New Roman"/>
          <w:sz w:val="24"/>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A876DE">
        <w:rPr>
          <w:rFonts w:ascii="Times New Roman" w:hAnsi="Times New Roman" w:cs="Times New Roman"/>
          <w:i/>
          <w:iCs/>
          <w:sz w:val="24"/>
          <w:szCs w:val="24"/>
        </w:rPr>
        <w:t>Jones v. Williams</w:t>
      </w:r>
      <w:r w:rsidRPr="00A876DE">
        <w:rPr>
          <w:rFonts w:ascii="Times New Roman" w:hAnsi="Times New Roman" w:cs="Times New Roman"/>
          <w:sz w:val="24"/>
          <w:szCs w:val="24"/>
        </w:rPr>
        <w:t>, 297 F.3d 930, 937 n.6 (9th Cir. 2002).</w:t>
      </w:r>
    </w:p>
    <w:p w14:paraId="76A6ECB5" w14:textId="6C2E6007" w:rsidR="00A876DE" w:rsidRPr="00A876DE" w:rsidRDefault="00B33418" w:rsidP="00A876DE">
      <w:pPr>
        <w:spacing w:after="0" w:line="240" w:lineRule="auto"/>
        <w:jc w:val="right"/>
        <w:rPr>
          <w:rFonts w:ascii="Times New Roman" w:hAnsi="Times New Roman" w:cs="Times New Roman"/>
          <w:i/>
          <w:iCs/>
          <w:sz w:val="24"/>
          <w:szCs w:val="24"/>
        </w:rPr>
      </w:pPr>
      <w:r w:rsidRPr="00A876DE">
        <w:rPr>
          <w:rFonts w:ascii="Times New Roman" w:hAnsi="Times New Roman" w:cs="Times New Roman"/>
          <w:i/>
          <w:iCs/>
          <w:sz w:val="24"/>
          <w:szCs w:val="24"/>
        </w:rPr>
        <w:t xml:space="preserve">Revised </w:t>
      </w:r>
      <w:r w:rsidR="00390514">
        <w:rPr>
          <w:rFonts w:ascii="Times New Roman" w:hAnsi="Times New Roman" w:cs="Times New Roman"/>
          <w:i/>
          <w:iCs/>
          <w:sz w:val="24"/>
          <w:szCs w:val="24"/>
        </w:rPr>
        <w:t xml:space="preserve">June </w:t>
      </w:r>
      <w:r w:rsidR="0080530D">
        <w:rPr>
          <w:rFonts w:ascii="Times New Roman" w:hAnsi="Times New Roman" w:cs="Times New Roman"/>
          <w:i/>
          <w:iCs/>
          <w:sz w:val="24"/>
          <w:szCs w:val="24"/>
        </w:rPr>
        <w:t>2025</w:t>
      </w:r>
    </w:p>
    <w:sectPr w:rsidR="00A876DE" w:rsidRPr="00A87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E"/>
    <w:rsid w:val="00055DCF"/>
    <w:rsid w:val="00066145"/>
    <w:rsid w:val="000A255E"/>
    <w:rsid w:val="000C5DB2"/>
    <w:rsid w:val="001915C5"/>
    <w:rsid w:val="001C1CAE"/>
    <w:rsid w:val="00356C38"/>
    <w:rsid w:val="00390514"/>
    <w:rsid w:val="004922F2"/>
    <w:rsid w:val="004C21AD"/>
    <w:rsid w:val="00533566"/>
    <w:rsid w:val="00541816"/>
    <w:rsid w:val="00621EDF"/>
    <w:rsid w:val="00654FA6"/>
    <w:rsid w:val="006964D0"/>
    <w:rsid w:val="006B4BA6"/>
    <w:rsid w:val="007C0A86"/>
    <w:rsid w:val="0080530D"/>
    <w:rsid w:val="0085741C"/>
    <w:rsid w:val="00887257"/>
    <w:rsid w:val="00897562"/>
    <w:rsid w:val="008D5960"/>
    <w:rsid w:val="00986AE8"/>
    <w:rsid w:val="00A876DE"/>
    <w:rsid w:val="00B33418"/>
    <w:rsid w:val="00B64E56"/>
    <w:rsid w:val="00B951E2"/>
    <w:rsid w:val="00B96321"/>
    <w:rsid w:val="00BB5E58"/>
    <w:rsid w:val="00BE0F07"/>
    <w:rsid w:val="00CB5858"/>
    <w:rsid w:val="00CD161F"/>
    <w:rsid w:val="00DC5DD9"/>
    <w:rsid w:val="00DE3AA1"/>
    <w:rsid w:val="00F2425A"/>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C5A8"/>
  <w15:chartTrackingRefBased/>
  <w15:docId w15:val="{EB48719D-265B-4E24-8117-2F5C7235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33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19</cp:revision>
  <dcterms:created xsi:type="dcterms:W3CDTF">2024-01-30T00:48:00Z</dcterms:created>
  <dcterms:modified xsi:type="dcterms:W3CDTF">2025-10-14T21:34:00Z</dcterms:modified>
</cp:coreProperties>
</file>