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14636" w14:textId="77777777" w:rsidR="0073137A" w:rsidRPr="004913BA" w:rsidRDefault="0073137A" w:rsidP="0073137A">
      <w:pPr>
        <w:pStyle w:val="Heading1"/>
      </w:pPr>
      <w:bookmarkStart w:id="0" w:name="_Toc167357278"/>
      <w:bookmarkStart w:id="1" w:name="_Toc184822673"/>
      <w:r w:rsidRPr="004913BA">
        <w:t xml:space="preserve">9.30 Particular Rights—Fourteenth Amendment—Pretrial Detainee’s </w:t>
      </w:r>
      <w:r w:rsidRPr="004913BA">
        <w:br/>
        <w:t>Claim Re Conditions of Confinement/Medical Care</w:t>
      </w:r>
      <w:bookmarkEnd w:id="0"/>
      <w:bookmarkEnd w:id="1"/>
    </w:p>
    <w:p w14:paraId="13AF763D" w14:textId="77777777" w:rsidR="0073137A" w:rsidRPr="004913BA" w:rsidRDefault="0073137A" w:rsidP="0073137A">
      <w:pPr>
        <w:autoSpaceDE w:val="0"/>
        <w:autoSpaceDN w:val="0"/>
        <w:adjustRightInd w:val="0"/>
      </w:pPr>
      <w:r w:rsidRPr="004913BA">
        <w:cr/>
      </w:r>
      <w:r w:rsidRPr="004913BA">
        <w:tab/>
      </w:r>
      <w:bookmarkStart w:id="2" w:name="_Hlk86420009"/>
      <w:r w:rsidRPr="004913BA">
        <w:t>The plaintiff has brought a claim under the Fourteenth Amendment to the United States Constitution against the defendant. The plaintiff asserts the defendant failed to provide [safe conditions of confinement] [needed medical care].</w:t>
      </w:r>
    </w:p>
    <w:p w14:paraId="4D57B5DC" w14:textId="77777777" w:rsidR="0073137A" w:rsidRPr="004913BA" w:rsidRDefault="0073137A" w:rsidP="0073137A">
      <w:pPr>
        <w:autoSpaceDE w:val="0"/>
        <w:autoSpaceDN w:val="0"/>
        <w:adjustRightInd w:val="0"/>
      </w:pPr>
    </w:p>
    <w:p w14:paraId="38E89F80" w14:textId="77777777" w:rsidR="0073137A" w:rsidRPr="004913BA" w:rsidRDefault="0073137A" w:rsidP="0073137A">
      <w:pPr>
        <w:autoSpaceDE w:val="0"/>
        <w:autoSpaceDN w:val="0"/>
        <w:adjustRightInd w:val="0"/>
      </w:pPr>
      <w:r w:rsidRPr="004913BA">
        <w:tab/>
        <w:t>To prevail on this claim, the plaintiff has the burden of proving each of the following elements by a preponderance of the evidence:</w:t>
      </w:r>
    </w:p>
    <w:p w14:paraId="4F3BBE87" w14:textId="77777777" w:rsidR="0073137A" w:rsidRPr="004913BA" w:rsidRDefault="0073137A" w:rsidP="0073137A">
      <w:pPr>
        <w:autoSpaceDE w:val="0"/>
        <w:autoSpaceDN w:val="0"/>
        <w:adjustRightInd w:val="0"/>
      </w:pPr>
    </w:p>
    <w:p w14:paraId="42091064" w14:textId="77777777" w:rsidR="0073137A" w:rsidRPr="004913BA" w:rsidRDefault="0073137A" w:rsidP="0073137A">
      <w:pPr>
        <w:tabs>
          <w:tab w:val="left" w:pos="720"/>
          <w:tab w:val="left" w:pos="1440"/>
        </w:tabs>
        <w:autoSpaceDE w:val="0"/>
        <w:autoSpaceDN w:val="0"/>
        <w:adjustRightInd w:val="0"/>
        <w:ind w:left="1440" w:hanging="1440"/>
      </w:pPr>
      <w:r w:rsidRPr="004913BA">
        <w:tab/>
      </w:r>
      <w:r w:rsidRPr="00844EC5">
        <w:rPr>
          <w:rFonts w:eastAsia="Calibri" w:cs="Times New Roman"/>
        </w:rPr>
        <w:t>First, the</w:t>
      </w:r>
      <w:r w:rsidRPr="004913BA">
        <w:t xml:space="preserve"> defendant made an intentional decision regarding [the conditions under which the plaintiff was confined] [the denial of needed medical care</w:t>
      </w:r>
      <w:proofErr w:type="gramStart"/>
      <w:r w:rsidRPr="004913BA">
        <w:t>];</w:t>
      </w:r>
      <w:proofErr w:type="gramEnd"/>
    </w:p>
    <w:p w14:paraId="70C6B3E0" w14:textId="77777777" w:rsidR="0073137A" w:rsidRPr="004913BA" w:rsidRDefault="0073137A" w:rsidP="0073137A">
      <w:pPr>
        <w:autoSpaceDE w:val="0"/>
        <w:autoSpaceDN w:val="0"/>
        <w:adjustRightInd w:val="0"/>
      </w:pPr>
    </w:p>
    <w:p w14:paraId="11EF99A1" w14:textId="77777777" w:rsidR="0073137A" w:rsidRPr="004913BA" w:rsidRDefault="0073137A" w:rsidP="0073137A">
      <w:pPr>
        <w:tabs>
          <w:tab w:val="left" w:pos="720"/>
          <w:tab w:val="left" w:pos="1440"/>
        </w:tabs>
        <w:autoSpaceDE w:val="0"/>
        <w:autoSpaceDN w:val="0"/>
        <w:adjustRightInd w:val="0"/>
        <w:ind w:left="1440" w:hanging="1440"/>
      </w:pPr>
      <w:r w:rsidRPr="004913BA">
        <w:tab/>
      </w:r>
      <w:r w:rsidRPr="00844EC5">
        <w:rPr>
          <w:rFonts w:eastAsia="Calibri" w:cs="Times New Roman"/>
        </w:rPr>
        <w:t>Second, the</w:t>
      </w:r>
      <w:r w:rsidRPr="004913BA">
        <w:t xml:space="preserve"> [conditions of confinement] [denial of needed medical care] put the plaintiff at substantial risk of suffering serious </w:t>
      </w:r>
      <w:proofErr w:type="gramStart"/>
      <w:r w:rsidRPr="004913BA">
        <w:t>harm;</w:t>
      </w:r>
      <w:proofErr w:type="gramEnd"/>
    </w:p>
    <w:p w14:paraId="2FE575B4" w14:textId="77777777" w:rsidR="0073137A" w:rsidRPr="004913BA" w:rsidRDefault="0073137A" w:rsidP="0073137A">
      <w:pPr>
        <w:autoSpaceDE w:val="0"/>
        <w:autoSpaceDN w:val="0"/>
        <w:adjustRightInd w:val="0"/>
      </w:pPr>
    </w:p>
    <w:p w14:paraId="10E1476C" w14:textId="77777777" w:rsidR="0073137A" w:rsidRPr="004913BA" w:rsidRDefault="0073137A" w:rsidP="0073137A">
      <w:pPr>
        <w:tabs>
          <w:tab w:val="left" w:pos="720"/>
          <w:tab w:val="left" w:pos="1440"/>
        </w:tabs>
        <w:autoSpaceDE w:val="0"/>
        <w:autoSpaceDN w:val="0"/>
        <w:adjustRightInd w:val="0"/>
        <w:ind w:left="1440" w:hanging="1440"/>
      </w:pPr>
      <w:r w:rsidRPr="004913BA">
        <w:tab/>
      </w:r>
      <w:r w:rsidRPr="00844EC5">
        <w:rPr>
          <w:rFonts w:eastAsia="Calibri" w:cs="Times New Roman"/>
        </w:rPr>
        <w:t>Third, the</w:t>
      </w:r>
      <w:r w:rsidRPr="004913BA">
        <w:t xml:space="preserve"> defendant did not take reasonable available measures to abate or reduce the risk of serious harm, even though a reasonable officer under the circumstances would have understood the high degree of risk involved—making the consequences of the defendant’s conduct obvious; and</w:t>
      </w:r>
    </w:p>
    <w:p w14:paraId="2D7DA339" w14:textId="77777777" w:rsidR="0073137A" w:rsidRPr="004913BA" w:rsidRDefault="0073137A" w:rsidP="0073137A">
      <w:pPr>
        <w:autoSpaceDE w:val="0"/>
        <w:autoSpaceDN w:val="0"/>
        <w:adjustRightInd w:val="0"/>
      </w:pPr>
    </w:p>
    <w:p w14:paraId="47EB82E5" w14:textId="77777777" w:rsidR="0073137A" w:rsidRPr="004913BA" w:rsidRDefault="0073137A" w:rsidP="0073137A">
      <w:pPr>
        <w:tabs>
          <w:tab w:val="left" w:pos="720"/>
          <w:tab w:val="left" w:pos="1440"/>
        </w:tabs>
        <w:autoSpaceDE w:val="0"/>
        <w:autoSpaceDN w:val="0"/>
        <w:adjustRightInd w:val="0"/>
        <w:ind w:left="1440" w:hanging="1440"/>
      </w:pPr>
      <w:r w:rsidRPr="004913BA">
        <w:tab/>
      </w:r>
      <w:r w:rsidRPr="00CB65E5">
        <w:rPr>
          <w:rFonts w:cs="Times New Roman"/>
          <w:szCs w:val="24"/>
        </w:rPr>
        <w:t xml:space="preserve">4. </w:t>
      </w:r>
      <w:r w:rsidRPr="00CB65E5">
        <w:rPr>
          <w:rFonts w:cs="Times New Roman"/>
          <w:szCs w:val="24"/>
        </w:rPr>
        <w:tab/>
        <w:t>By</w:t>
      </w:r>
      <w:r w:rsidRPr="004913BA">
        <w:t xml:space="preserve"> not taking such measures the defendant caused the plaintiff’s injuries.</w:t>
      </w:r>
    </w:p>
    <w:p w14:paraId="31096615" w14:textId="77777777" w:rsidR="0073137A" w:rsidRPr="004913BA" w:rsidRDefault="0073137A" w:rsidP="0073137A">
      <w:pPr>
        <w:autoSpaceDE w:val="0"/>
        <w:autoSpaceDN w:val="0"/>
        <w:adjustRightInd w:val="0"/>
      </w:pPr>
    </w:p>
    <w:p w14:paraId="509DF3C4" w14:textId="77777777" w:rsidR="0073137A" w:rsidRPr="004913BA" w:rsidRDefault="0073137A" w:rsidP="0073137A">
      <w:pPr>
        <w:autoSpaceDE w:val="0"/>
        <w:autoSpaceDN w:val="0"/>
        <w:adjustRightInd w:val="0"/>
      </w:pPr>
      <w:r w:rsidRPr="004913BA">
        <w:tab/>
        <w:t>With respect to the third element, the defendant’s conduct must be objectively unreasonable.</w:t>
      </w:r>
    </w:p>
    <w:p w14:paraId="569D92A0" w14:textId="77777777" w:rsidR="0073137A" w:rsidRPr="004913BA" w:rsidRDefault="0073137A" w:rsidP="0073137A">
      <w:pPr>
        <w:autoSpaceDE w:val="0"/>
        <w:autoSpaceDN w:val="0"/>
        <w:adjustRightInd w:val="0"/>
      </w:pPr>
    </w:p>
    <w:p w14:paraId="760ED798" w14:textId="77777777" w:rsidR="0073137A" w:rsidRPr="004913BA" w:rsidRDefault="0073137A" w:rsidP="0073137A">
      <w:pPr>
        <w:autoSpaceDE w:val="0"/>
        <w:autoSpaceDN w:val="0"/>
        <w:adjustRightInd w:val="0"/>
        <w:jc w:val="center"/>
      </w:pPr>
      <w:r w:rsidRPr="004913BA">
        <w:rPr>
          <w:b/>
        </w:rPr>
        <w:t>Comment</w:t>
      </w:r>
    </w:p>
    <w:p w14:paraId="3271C965" w14:textId="77777777" w:rsidR="0073137A" w:rsidRPr="004913BA" w:rsidRDefault="0073137A" w:rsidP="0073137A">
      <w:pPr>
        <w:autoSpaceDE w:val="0"/>
        <w:autoSpaceDN w:val="0"/>
        <w:adjustRightInd w:val="0"/>
      </w:pPr>
    </w:p>
    <w:p w14:paraId="5248062D" w14:textId="77777777" w:rsidR="0073137A" w:rsidRPr="004913BA" w:rsidRDefault="0073137A" w:rsidP="0073137A">
      <w:pPr>
        <w:autoSpaceDE w:val="0"/>
        <w:autoSpaceDN w:val="0"/>
        <w:adjustRightInd w:val="0"/>
      </w:pPr>
      <w:r w:rsidRPr="004913BA">
        <w:tab/>
        <w:t xml:space="preserve">In </w:t>
      </w:r>
      <w:r w:rsidRPr="004913BA">
        <w:rPr>
          <w:i/>
        </w:rPr>
        <w:t>Castro v. County of Los Angeles</w:t>
      </w:r>
      <w:r w:rsidRPr="004913BA">
        <w:t>, 833 F.3d 1060, 1070 (9th Cir. 2016) (</w:t>
      </w:r>
      <w:proofErr w:type="spellStart"/>
      <w:r w:rsidRPr="004913BA">
        <w:t>en</w:t>
      </w:r>
      <w:proofErr w:type="spellEnd"/>
      <w:r w:rsidRPr="004913BA">
        <w:t xml:space="preserve"> banc), the Ninth Circuit overruled</w:t>
      </w:r>
      <w:r w:rsidRPr="004913BA">
        <w:rPr>
          <w:i/>
        </w:rPr>
        <w:t xml:space="preserve"> Clouthier v. County of Contra Costa</w:t>
      </w:r>
      <w:r w:rsidRPr="004913BA">
        <w:t xml:space="preserve">, 591 F.3d 1232, 1253-54 (9th Cir. 2010), “to the extent that it identified a single deliberate indifference standard for all § 1983 claims </w:t>
      </w:r>
      <w:proofErr w:type="gramStart"/>
      <w:r w:rsidRPr="004913BA">
        <w:t>. . . .</w:t>
      </w:r>
      <w:proofErr w:type="gramEnd"/>
      <w:r w:rsidRPr="004913BA">
        <w:t xml:space="preserve">” </w:t>
      </w:r>
      <w:r w:rsidRPr="004913BA">
        <w:rPr>
          <w:i/>
        </w:rPr>
        <w:t>Castro</w:t>
      </w:r>
      <w:r w:rsidRPr="004913BA">
        <w:t xml:space="preserve"> at 1070. The Ninth Circuit in </w:t>
      </w:r>
      <w:r w:rsidRPr="004913BA">
        <w:rPr>
          <w:i/>
        </w:rPr>
        <w:t xml:space="preserve">Castro </w:t>
      </w:r>
      <w:r w:rsidRPr="004913BA">
        <w:t xml:space="preserve">also approved a jury instruction for a pretrial detainee’s claim of failure to protect. </w:t>
      </w:r>
      <w:r w:rsidRPr="004913BA">
        <w:rPr>
          <w:i/>
        </w:rPr>
        <w:t>See</w:t>
      </w:r>
      <w:r w:rsidRPr="004913BA">
        <w:t xml:space="preserve"> Instruction 9.31 (Particular Rights—Fourteenth Amendment—Pretrial Detainee’s Claim of Failure to Protect). </w:t>
      </w:r>
    </w:p>
    <w:p w14:paraId="3021C810" w14:textId="77777777" w:rsidR="0073137A" w:rsidRPr="004913BA" w:rsidRDefault="0073137A" w:rsidP="0073137A">
      <w:pPr>
        <w:autoSpaceDE w:val="0"/>
        <w:autoSpaceDN w:val="0"/>
        <w:adjustRightInd w:val="0"/>
      </w:pPr>
    </w:p>
    <w:p w14:paraId="1B04CDE1" w14:textId="77777777" w:rsidR="0073137A" w:rsidRDefault="0073137A" w:rsidP="0073137A">
      <w:pPr>
        <w:autoSpaceDE w:val="0"/>
        <w:autoSpaceDN w:val="0"/>
        <w:adjustRightInd w:val="0"/>
      </w:pPr>
      <w:r w:rsidRPr="004913BA">
        <w:tab/>
        <w:t xml:space="preserve"> </w:t>
      </w:r>
      <w:r w:rsidRPr="004913BA">
        <w:rPr>
          <w:i/>
        </w:rPr>
        <w:t>See also Gordon v. County of Orange</w:t>
      </w:r>
      <w:r w:rsidRPr="004913BA">
        <w:t xml:space="preserve">, 888 F.3d 1118, 1124-25 (9th Cir. 2018) (“[W]e hold that claims for violations of the right to adequate medical care ‘brought by pretrial detainees against individual defendants under the Fourteenth Amendment’ must be evaluated under an objective deliberate indifference standard”) (extending </w:t>
      </w:r>
      <w:r w:rsidRPr="004913BA">
        <w:rPr>
          <w:i/>
        </w:rPr>
        <w:t>Castro</w:t>
      </w:r>
      <w:r w:rsidRPr="004913BA">
        <w:t xml:space="preserve">); </w:t>
      </w:r>
      <w:r w:rsidRPr="004913BA">
        <w:rPr>
          <w:i/>
        </w:rPr>
        <w:t>Sandoval v. County of San Diego</w:t>
      </w:r>
      <w:r w:rsidRPr="004913BA">
        <w:t xml:space="preserve">, 985 F.3d 657, 662 (9th Cir. 2021) (applying </w:t>
      </w:r>
      <w:r w:rsidRPr="004913BA">
        <w:rPr>
          <w:i/>
        </w:rPr>
        <w:t>Gordon</w:t>
      </w:r>
      <w:r w:rsidRPr="004913BA">
        <w:t xml:space="preserve"> to nurses’ alleged failure to provide proper care to pretrial detainee). The Ninth Circuit held “pre-trial detainees do have a right to direct-view safety checks sufficient to determine whether their presentation indicates the need for medical treatment.” </w:t>
      </w:r>
      <w:r w:rsidRPr="004913BA">
        <w:rPr>
          <w:i/>
        </w:rPr>
        <w:t>Gordon v. County of Orange</w:t>
      </w:r>
      <w:r w:rsidRPr="004913BA">
        <w:t xml:space="preserve">, 6 F.4th 961, 973 (9th Cir. 2021). While there is “no § 1983 liability for simply acting contrary to prison policy,” the standardized medical procedures of a prison can “help to underscore” that prison officials “had access to facts from </w:t>
      </w:r>
      <w:r w:rsidRPr="004913BA">
        <w:lastRenderedPageBreak/>
        <w:t>which a reasonable person would infer” that a particular patient “was at serious medical risk.”</w:t>
      </w:r>
      <w:r w:rsidRPr="004913BA">
        <w:rPr>
          <w:i/>
        </w:rPr>
        <w:t xml:space="preserve"> Russell v. </w:t>
      </w:r>
      <w:proofErr w:type="spellStart"/>
      <w:r w:rsidRPr="004913BA">
        <w:rPr>
          <w:i/>
        </w:rPr>
        <w:t>Lumitap</w:t>
      </w:r>
      <w:proofErr w:type="spellEnd"/>
      <w:r w:rsidRPr="004913BA">
        <w:t>, 31 F.4th 729, 742 (9th Cir. 2022).</w:t>
      </w:r>
    </w:p>
    <w:p w14:paraId="608273E1" w14:textId="77777777" w:rsidR="00133B11" w:rsidRPr="004913BA" w:rsidRDefault="00133B11" w:rsidP="0073137A">
      <w:pPr>
        <w:autoSpaceDE w:val="0"/>
        <w:autoSpaceDN w:val="0"/>
        <w:adjustRightInd w:val="0"/>
      </w:pPr>
    </w:p>
    <w:p w14:paraId="225AEFD4" w14:textId="77777777" w:rsidR="0073137A" w:rsidRDefault="0073137A" w:rsidP="0073137A">
      <w:pPr>
        <w:autoSpaceDE w:val="0"/>
        <w:autoSpaceDN w:val="0"/>
        <w:adjustRightInd w:val="0"/>
        <w:ind w:firstLine="720"/>
        <w:rPr>
          <w:rFonts w:cs="Times New Roman"/>
          <w:szCs w:val="24"/>
        </w:rPr>
      </w:pPr>
      <w:r w:rsidRPr="004913BA">
        <w:t xml:space="preserve">In </w:t>
      </w:r>
      <w:bookmarkStart w:id="3" w:name="_Hlk179273396"/>
      <w:r w:rsidRPr="004913BA">
        <w:rPr>
          <w:i/>
        </w:rPr>
        <w:t>Alexander v. Nguyen</w:t>
      </w:r>
      <w:r w:rsidRPr="004913BA">
        <w:t>, 78 F.4th 1140, 1144 (9th Cir. 2023)</w:t>
      </w:r>
      <w:bookmarkEnd w:id="3"/>
      <w:r w:rsidRPr="004913BA">
        <w:t xml:space="preserve">, the Ninth Circuit noted that “the law governing pretrial detainees’ claims of inadequate medical care and other dangerous conditions of confinement is still developing in the wake of the Supreme Court’s decision in </w:t>
      </w:r>
      <w:r w:rsidRPr="004913BA">
        <w:rPr>
          <w:i/>
        </w:rPr>
        <w:t>Kingsley v. Hendrickson</w:t>
      </w:r>
      <w:r w:rsidRPr="004913BA">
        <w:t xml:space="preserve">, 576 U.S. 389 (2015)[.]” The court added that under the third element discussed in the 2018 decision in </w:t>
      </w:r>
      <w:r w:rsidRPr="004913BA">
        <w:rPr>
          <w:i/>
        </w:rPr>
        <w:t>Gordon</w:t>
      </w:r>
      <w:r w:rsidRPr="004913BA">
        <w:t xml:space="preserve">, “[t]he plaintiff must ‘prove more than negligence but less than subjective intent—something akin to reckless disregard.’” </w:t>
      </w:r>
      <w:r w:rsidRPr="004913BA">
        <w:rPr>
          <w:i/>
        </w:rPr>
        <w:t>Alexander</w:t>
      </w:r>
      <w:r w:rsidRPr="004913BA">
        <w:t xml:space="preserve">, 78 F.4th at 1145 (stating that </w:t>
      </w:r>
      <w:r>
        <w:rPr>
          <w:rFonts w:cs="Times New Roman"/>
          <w:szCs w:val="24"/>
        </w:rPr>
        <w:t>the “</w:t>
      </w:r>
      <w:r w:rsidRPr="00283FB2">
        <w:rPr>
          <w:rFonts w:cs="Times New Roman"/>
          <w:szCs w:val="24"/>
        </w:rPr>
        <w:t xml:space="preserve">mere lack of due care by a state official </w:t>
      </w:r>
      <w:r>
        <w:rPr>
          <w:rFonts w:cs="Times New Roman"/>
          <w:szCs w:val="24"/>
        </w:rPr>
        <w:t>is not enough to show a constitutional violation”</w:t>
      </w:r>
      <w:r w:rsidRPr="00283FB2">
        <w:rPr>
          <w:rFonts w:cs="Times New Roman"/>
          <w:szCs w:val="24"/>
        </w:rPr>
        <w:t xml:space="preserve"> under the Fourteenth Amendment</w:t>
      </w:r>
      <w:r w:rsidRPr="006356A3">
        <w:rPr>
          <w:rFonts w:cs="Times New Roman"/>
          <w:szCs w:val="24"/>
        </w:rPr>
        <w:t>)</w:t>
      </w:r>
      <w:r w:rsidRPr="0026279B">
        <w:rPr>
          <w:rFonts w:cs="Times New Roman"/>
          <w:szCs w:val="24"/>
        </w:rPr>
        <w:t xml:space="preserve"> </w:t>
      </w:r>
      <w:r w:rsidRPr="006356A3">
        <w:rPr>
          <w:rFonts w:cs="Times New Roman"/>
          <w:szCs w:val="24"/>
        </w:rPr>
        <w:t xml:space="preserve">(quoting </w:t>
      </w:r>
      <w:r w:rsidRPr="006356A3">
        <w:rPr>
          <w:rFonts w:cs="Times New Roman"/>
          <w:i/>
          <w:iCs/>
          <w:szCs w:val="24"/>
        </w:rPr>
        <w:t>Gordon</w:t>
      </w:r>
      <w:r w:rsidRPr="006356A3">
        <w:rPr>
          <w:rFonts w:cs="Times New Roman"/>
          <w:szCs w:val="24"/>
        </w:rPr>
        <w:t>, 888 F.3d at 1125</w:t>
      </w:r>
      <w:r>
        <w:rPr>
          <w:rFonts w:cs="Times New Roman"/>
          <w:szCs w:val="24"/>
        </w:rPr>
        <w:t>)</w:t>
      </w:r>
      <w:r w:rsidRPr="006356A3">
        <w:rPr>
          <w:rFonts w:cs="Times New Roman"/>
          <w:szCs w:val="24"/>
        </w:rPr>
        <w:t>.</w:t>
      </w:r>
    </w:p>
    <w:p w14:paraId="15AF6F9C" w14:textId="77777777" w:rsidR="0073137A" w:rsidRDefault="0073137A" w:rsidP="0073137A">
      <w:pPr>
        <w:autoSpaceDE w:val="0"/>
        <w:autoSpaceDN w:val="0"/>
        <w:adjustRightInd w:val="0"/>
        <w:rPr>
          <w:rFonts w:cs="Times New Roman"/>
          <w:szCs w:val="24"/>
        </w:rPr>
      </w:pPr>
      <w:r w:rsidRPr="00203C7D">
        <w:rPr>
          <w:rFonts w:cs="Times New Roman"/>
          <w:szCs w:val="24"/>
        </w:rPr>
        <w:t xml:space="preserve">The Fourth Amendment may also be applicable. </w:t>
      </w:r>
    </w:p>
    <w:p w14:paraId="0659741D" w14:textId="77777777" w:rsidR="0073137A" w:rsidRDefault="0073137A" w:rsidP="0073137A">
      <w:pPr>
        <w:autoSpaceDE w:val="0"/>
        <w:autoSpaceDN w:val="0"/>
        <w:adjustRightInd w:val="0"/>
        <w:rPr>
          <w:rFonts w:cs="Times New Roman"/>
          <w:szCs w:val="24"/>
        </w:rPr>
      </w:pPr>
    </w:p>
    <w:p w14:paraId="30C8381B" w14:textId="77777777" w:rsidR="0073137A" w:rsidRPr="004913BA" w:rsidRDefault="0073137A" w:rsidP="0073137A">
      <w:pPr>
        <w:autoSpaceDE w:val="0"/>
        <w:autoSpaceDN w:val="0"/>
        <w:adjustRightInd w:val="0"/>
        <w:ind w:firstLine="720"/>
      </w:pPr>
      <w:r w:rsidRPr="004913BA">
        <w:t xml:space="preserve">In </w:t>
      </w:r>
      <w:r w:rsidRPr="004913BA">
        <w:rPr>
          <w:i/>
        </w:rPr>
        <w:t xml:space="preserve">Graham v. </w:t>
      </w:r>
      <w:r w:rsidRPr="00203C7D">
        <w:rPr>
          <w:rFonts w:cs="Times New Roman"/>
          <w:i/>
          <w:iCs/>
          <w:szCs w:val="24"/>
        </w:rPr>
        <w:t>Connor</w:t>
      </w:r>
      <w:r w:rsidRPr="00203C7D">
        <w:rPr>
          <w:rFonts w:cs="Times New Roman"/>
          <w:szCs w:val="24"/>
        </w:rPr>
        <w:t>, 490 U.S. 386,</w:t>
      </w:r>
      <w:r>
        <w:rPr>
          <w:rFonts w:cs="Times New Roman"/>
          <w:szCs w:val="24"/>
        </w:rPr>
        <w:t xml:space="preserve"> </w:t>
      </w:r>
      <w:r w:rsidRPr="00203C7D">
        <w:rPr>
          <w:rFonts w:cs="Times New Roman"/>
          <w:szCs w:val="24"/>
        </w:rPr>
        <w:t>395 n.10 (1989), the Supreme Court observed that it was an open question “whether the Fourth</w:t>
      </w:r>
      <w:r>
        <w:rPr>
          <w:rFonts w:cs="Times New Roman"/>
          <w:szCs w:val="24"/>
        </w:rPr>
        <w:t xml:space="preserve"> </w:t>
      </w:r>
      <w:r w:rsidRPr="00203C7D">
        <w:rPr>
          <w:rFonts w:cs="Times New Roman"/>
          <w:szCs w:val="24"/>
        </w:rPr>
        <w:t>Amendment continues to provide individuals with protection against deliberate use of excessive</w:t>
      </w:r>
      <w:r>
        <w:rPr>
          <w:rFonts w:cs="Times New Roman"/>
          <w:szCs w:val="24"/>
        </w:rPr>
        <w:t xml:space="preserve"> </w:t>
      </w:r>
      <w:r w:rsidRPr="00203C7D">
        <w:rPr>
          <w:rFonts w:cs="Times New Roman"/>
          <w:szCs w:val="24"/>
        </w:rPr>
        <w:t>physical force beyond the point at which arrest ends and pretrial detention begins</w:t>
      </w:r>
      <w:r>
        <w:rPr>
          <w:rFonts w:cs="Times New Roman"/>
          <w:szCs w:val="24"/>
        </w:rPr>
        <w:t>[</w:t>
      </w:r>
      <w:r w:rsidRPr="00203C7D">
        <w:rPr>
          <w:rFonts w:cs="Times New Roman"/>
          <w:szCs w:val="24"/>
        </w:rPr>
        <w:t>.</w:t>
      </w:r>
      <w:r>
        <w:rPr>
          <w:rFonts w:cs="Times New Roman"/>
          <w:szCs w:val="24"/>
        </w:rPr>
        <w:t>]</w:t>
      </w:r>
      <w:r w:rsidRPr="00203C7D">
        <w:rPr>
          <w:rFonts w:cs="Times New Roman"/>
          <w:szCs w:val="24"/>
        </w:rPr>
        <w:t>” But with</w:t>
      </w:r>
      <w:r>
        <w:rPr>
          <w:rFonts w:cs="Times New Roman"/>
          <w:szCs w:val="24"/>
        </w:rPr>
        <w:t xml:space="preserve"> </w:t>
      </w:r>
      <w:r w:rsidRPr="00203C7D">
        <w:rPr>
          <w:rFonts w:cs="Times New Roman"/>
          <w:szCs w:val="24"/>
        </w:rPr>
        <w:t>regard to pre-arraignment custody, the Ninth Circuit held that the Fourth Amendment</w:t>
      </w:r>
      <w:r>
        <w:rPr>
          <w:rFonts w:cs="Times New Roman"/>
          <w:szCs w:val="24"/>
        </w:rPr>
        <w:t xml:space="preserve"> </w:t>
      </w:r>
      <w:r w:rsidRPr="00203C7D">
        <w:rPr>
          <w:rFonts w:cs="Times New Roman"/>
          <w:szCs w:val="24"/>
        </w:rPr>
        <w:t xml:space="preserve">provides protection against the use of excessive force. </w:t>
      </w:r>
      <w:r w:rsidRPr="004913BA">
        <w:rPr>
          <w:i/>
        </w:rPr>
        <w:t>Pierce v. Multnomah County</w:t>
      </w:r>
      <w:r w:rsidRPr="004913BA">
        <w:t>, 76 F.3d</w:t>
      </w:r>
      <w:r>
        <w:rPr>
          <w:rFonts w:cs="Times New Roman"/>
          <w:szCs w:val="24"/>
        </w:rPr>
        <w:t xml:space="preserve"> </w:t>
      </w:r>
      <w:r w:rsidRPr="00203C7D">
        <w:rPr>
          <w:rFonts w:cs="Times New Roman"/>
          <w:szCs w:val="24"/>
        </w:rPr>
        <w:t>1032, 1043 (9th Cir.</w:t>
      </w:r>
      <w:r w:rsidRPr="004913BA">
        <w:t xml:space="preserve"> 1996) (“We hold, therefore, that the Fourth Amendment sets the applicable constitutional limitations on the treatment of an arrestee detained without a warrant up until the time such arrestee is released or found to be legally in custody based upon probable cause for arrest.”).</w:t>
      </w:r>
    </w:p>
    <w:p w14:paraId="0C1D26CC" w14:textId="77777777" w:rsidR="0073137A" w:rsidRPr="004913BA" w:rsidRDefault="0073137A" w:rsidP="0073137A">
      <w:pPr>
        <w:autoSpaceDE w:val="0"/>
        <w:autoSpaceDN w:val="0"/>
        <w:adjustRightInd w:val="0"/>
        <w:ind w:firstLine="720"/>
      </w:pPr>
    </w:p>
    <w:p w14:paraId="5566226C" w14:textId="77777777" w:rsidR="0073137A" w:rsidRPr="004913BA" w:rsidRDefault="0073137A" w:rsidP="0073137A">
      <w:pPr>
        <w:ind w:firstLine="720"/>
      </w:pPr>
      <w:r w:rsidRPr="004913BA">
        <w:t xml:space="preserve">In the appropriate case, the trial court may instruct the jury that in considering the elements, it should give deference to prison officials in the adoption and execution of policies and practices that in their judgment are needed to preserve discipline and to maintain internal security in a prison. </w:t>
      </w:r>
      <w:r w:rsidRPr="004913BA">
        <w:rPr>
          <w:i/>
        </w:rPr>
        <w:t>Bell v. Wolfish</w:t>
      </w:r>
      <w:r w:rsidRPr="004913BA">
        <w:t>, 441 U.S. 520, 547 (1979). Courts “must defer to the judgment of correctional officials unless the record contains substantial evidence showing [that] their policies are an unnecessary or unjustified response to problems of jail security.”</w:t>
      </w:r>
      <w:r w:rsidRPr="00FC46FC">
        <w:rPr>
          <w:i/>
        </w:rPr>
        <w:t xml:space="preserve"> </w:t>
      </w:r>
      <w:r w:rsidRPr="004913BA">
        <w:rPr>
          <w:i/>
        </w:rPr>
        <w:t xml:space="preserve">Florence v. Bd. of Chosen Freeholders </w:t>
      </w:r>
      <w:proofErr w:type="spellStart"/>
      <w:r w:rsidRPr="004913BA">
        <w:rPr>
          <w:i/>
        </w:rPr>
        <w:t>Cnty</w:t>
      </w:r>
      <w:proofErr w:type="spellEnd"/>
      <w:r w:rsidRPr="004913BA">
        <w:rPr>
          <w:i/>
        </w:rPr>
        <w:t>. of Burlington</w:t>
      </w:r>
      <w:r w:rsidRPr="004913BA">
        <w:t xml:space="preserve">, 566 U.S. 318, 322-23 (2012). “It is well established that judges and juries must defer to prison officials’ expert judgments.” </w:t>
      </w:r>
      <w:r w:rsidRPr="004913BA">
        <w:rPr>
          <w:i/>
        </w:rPr>
        <w:t>Norwood v. Vance</w:t>
      </w:r>
      <w:r w:rsidRPr="004913BA">
        <w:t>, 591 F.3d 1062, 1066 (9th Cir. 2010).</w:t>
      </w:r>
    </w:p>
    <w:p w14:paraId="4A43598F" w14:textId="77777777" w:rsidR="0073137A" w:rsidRPr="004913BA" w:rsidRDefault="0073137A" w:rsidP="0073137A">
      <w:pPr>
        <w:ind w:firstLine="720"/>
      </w:pPr>
    </w:p>
    <w:p w14:paraId="14CF9200" w14:textId="77777777" w:rsidR="0073137A" w:rsidRPr="004913BA" w:rsidRDefault="0073137A" w:rsidP="0073137A">
      <w:r w:rsidRPr="00B054A4">
        <w:rPr>
          <w:szCs w:val="24"/>
        </w:rPr>
        <w:tab/>
      </w:r>
      <w:r w:rsidRPr="004913BA">
        <w:t xml:space="preserve">The Ninth Circuit has </w:t>
      </w:r>
      <w:r w:rsidRPr="00B054A4">
        <w:rPr>
          <w:szCs w:val="24"/>
        </w:rPr>
        <w:t>held</w:t>
      </w:r>
      <w:r w:rsidRPr="004913BA">
        <w:t xml:space="preserve"> that failing to give a jury deference instruction based on the general principles outlined in </w:t>
      </w:r>
      <w:r w:rsidRPr="004913BA">
        <w:rPr>
          <w:i/>
        </w:rPr>
        <w:t xml:space="preserve">Bell </w:t>
      </w:r>
      <w:r w:rsidRPr="004913BA">
        <w:t xml:space="preserve">was an error. </w:t>
      </w:r>
      <w:r w:rsidRPr="004913BA">
        <w:rPr>
          <w:i/>
        </w:rPr>
        <w:t>Norwood</w:t>
      </w:r>
      <w:r w:rsidRPr="004913BA">
        <w:t>, 591 F.3d at 1066-67</w:t>
      </w:r>
      <w:r w:rsidRPr="00B054A4">
        <w:rPr>
          <w:szCs w:val="24"/>
        </w:rPr>
        <w:t xml:space="preserve"> (“Prison officials are entitled to deference whether a prisoner challenges excessive force or conditions of confinement.”).</w:t>
      </w:r>
      <w:r w:rsidRPr="004913BA">
        <w:t xml:space="preserve"> In subsequent cases, the Ninth Circuit </w:t>
      </w:r>
      <w:r w:rsidRPr="00B054A4">
        <w:rPr>
          <w:szCs w:val="24"/>
        </w:rPr>
        <w:t>explained that a deference instruction should be given</w:t>
      </w:r>
      <w:r w:rsidRPr="004913BA">
        <w:t xml:space="preserve"> only where both of the conditions in </w:t>
      </w:r>
      <w:r w:rsidRPr="004913BA">
        <w:rPr>
          <w:i/>
        </w:rPr>
        <w:t>Bell</w:t>
      </w:r>
      <w:r w:rsidRPr="00FC46FC">
        <w:t xml:space="preserve"> </w:t>
      </w:r>
      <w:r w:rsidRPr="004913BA">
        <w:t xml:space="preserve">were present: first, the prison officials </w:t>
      </w:r>
      <w:r w:rsidRPr="00B054A4">
        <w:rPr>
          <w:szCs w:val="24"/>
        </w:rPr>
        <w:t>adopted</w:t>
      </w:r>
      <w:r w:rsidRPr="004913BA">
        <w:t xml:space="preserve"> and </w:t>
      </w:r>
      <w:r w:rsidRPr="00B054A4">
        <w:rPr>
          <w:szCs w:val="24"/>
        </w:rPr>
        <w:t>executed</w:t>
      </w:r>
      <w:r w:rsidRPr="004913BA">
        <w:t xml:space="preserve"> “policies and practices that in their judgment are needed to preserve internal order and discipline and to maintain institutional security,” </w:t>
      </w:r>
      <w:r w:rsidRPr="004913BA">
        <w:rPr>
          <w:i/>
        </w:rPr>
        <w:t>Shorter v. Baca</w:t>
      </w:r>
      <w:r w:rsidRPr="004913BA">
        <w:t xml:space="preserve">, 895 F.3d 1176, 1183 (9th Cir. 2018) (quoting </w:t>
      </w:r>
      <w:r w:rsidRPr="004913BA">
        <w:rPr>
          <w:i/>
        </w:rPr>
        <w:t>Bell</w:t>
      </w:r>
      <w:r w:rsidRPr="004913BA">
        <w:t xml:space="preserve">, 441 U.S. at 547), and second, the record did not contain “substantial evidence showing [that the prison’s] policies are an unnecessary or unjustified response to problems of jail security.” </w:t>
      </w:r>
      <w:r w:rsidRPr="004913BA">
        <w:rPr>
          <w:i/>
        </w:rPr>
        <w:t>Id.</w:t>
      </w:r>
      <w:r w:rsidRPr="00FC46FC">
        <w:t xml:space="preserve"> </w:t>
      </w:r>
      <w:r w:rsidRPr="004913BA">
        <w:t xml:space="preserve">(quoting </w:t>
      </w:r>
      <w:r w:rsidRPr="004913BA">
        <w:rPr>
          <w:i/>
        </w:rPr>
        <w:t>Florence</w:t>
      </w:r>
      <w:r w:rsidRPr="004913BA">
        <w:t xml:space="preserve">, 566 U.S. at 323); </w:t>
      </w:r>
      <w:r w:rsidRPr="004913BA">
        <w:rPr>
          <w:i/>
        </w:rPr>
        <w:t>see also Fierro v. Smith</w:t>
      </w:r>
      <w:r w:rsidRPr="004913BA">
        <w:t xml:space="preserve">, 39 F.4th 640, 648 (9th Cir. 2022) (restating the rule that “two conditions” inform whether the deference instruction should be given when prisoners assert Eighth Amendment claims challenging their treatment in prison, namely “whether the treatment the </w:t>
      </w:r>
      <w:r w:rsidRPr="004913BA">
        <w:lastRenderedPageBreak/>
        <w:t>prisoner challenges (1) was provided pursuant to a security-based policy or practice, and, if so, (2) was a necessary, justified, and non-exaggerated response to security needs</w:t>
      </w:r>
      <w:r w:rsidRPr="00B054A4">
        <w:rPr>
          <w:szCs w:val="24"/>
        </w:rPr>
        <w:t>”)</w:t>
      </w:r>
      <w:r>
        <w:rPr>
          <w:szCs w:val="24"/>
        </w:rPr>
        <w:t>.</w:t>
      </w:r>
    </w:p>
    <w:p w14:paraId="7A20D5AD" w14:textId="77777777" w:rsidR="0073137A" w:rsidRPr="004913BA" w:rsidRDefault="0073137A" w:rsidP="0073137A"/>
    <w:p w14:paraId="58B23938" w14:textId="77777777" w:rsidR="0073137A" w:rsidRPr="004913BA" w:rsidRDefault="0073137A" w:rsidP="0073137A">
      <w:r w:rsidRPr="00B054A4">
        <w:rPr>
          <w:szCs w:val="24"/>
        </w:rPr>
        <w:tab/>
        <w:t xml:space="preserve">In light of the two </w:t>
      </w:r>
      <w:r w:rsidRPr="00B054A4">
        <w:rPr>
          <w:i/>
          <w:iCs/>
          <w:szCs w:val="24"/>
        </w:rPr>
        <w:t xml:space="preserve">Bell </w:t>
      </w:r>
      <w:r w:rsidRPr="00B054A4">
        <w:rPr>
          <w:szCs w:val="24"/>
        </w:rPr>
        <w:t xml:space="preserve">conditions, the </w:t>
      </w:r>
      <w:r w:rsidRPr="004913BA">
        <w:t xml:space="preserve">Ninth Circuit has explained the </w:t>
      </w:r>
      <w:r w:rsidRPr="00B054A4">
        <w:rPr>
          <w:szCs w:val="24"/>
        </w:rPr>
        <w:t>contours of giving a deference instruction</w:t>
      </w:r>
      <w:r w:rsidRPr="004913BA">
        <w:t xml:space="preserve"> in different scenarios. The plaintiff bears the burden of producing “substantial evidence” in the record that the </w:t>
      </w:r>
      <w:r w:rsidRPr="00B054A4">
        <w:rPr>
          <w:szCs w:val="24"/>
        </w:rPr>
        <w:t xml:space="preserve">two </w:t>
      </w:r>
      <w:r w:rsidRPr="004913BA">
        <w:t xml:space="preserve">conditions are not met. </w:t>
      </w:r>
      <w:r w:rsidRPr="004913BA">
        <w:rPr>
          <w:i/>
        </w:rPr>
        <w:t>Shorter</w:t>
      </w:r>
      <w:r w:rsidRPr="004913BA">
        <w:t xml:space="preserve">, </w:t>
      </w:r>
      <w:r w:rsidRPr="00B054A4">
        <w:rPr>
          <w:szCs w:val="24"/>
        </w:rPr>
        <w:t>895</w:t>
      </w:r>
      <w:r w:rsidRPr="004913BA">
        <w:t xml:space="preserve"> F.3d at 1183</w:t>
      </w:r>
      <w:r w:rsidRPr="00B054A4">
        <w:rPr>
          <w:szCs w:val="24"/>
        </w:rPr>
        <w:t xml:space="preserve"> (“In the absence of substantial evidence in the record to indicate that the officials have exaggerated their response to [security] considerations courts should ordinarily defer to their expert judgment in such matters” (citing </w:t>
      </w:r>
      <w:r w:rsidRPr="00B054A4">
        <w:rPr>
          <w:i/>
          <w:iCs/>
          <w:szCs w:val="24"/>
        </w:rPr>
        <w:t>Block v. Rutherford</w:t>
      </w:r>
      <w:r w:rsidRPr="00B054A4">
        <w:rPr>
          <w:szCs w:val="24"/>
        </w:rPr>
        <w:t>, 468 U.S. 576, 584-85 (1984)).</w:t>
      </w:r>
      <w:r w:rsidRPr="004913BA">
        <w:t xml:space="preserve"> If the plaintiff has failed to carry this burden, or if the parties do not dispute that both </w:t>
      </w:r>
      <w:r w:rsidRPr="00B054A4">
        <w:rPr>
          <w:i/>
          <w:iCs/>
          <w:szCs w:val="24"/>
        </w:rPr>
        <w:t xml:space="preserve">Bell </w:t>
      </w:r>
      <w:r w:rsidRPr="004913BA">
        <w:t xml:space="preserve">conditions are met, the trial court must give a jury the deference instruction. </w:t>
      </w:r>
      <w:r w:rsidRPr="004913BA">
        <w:rPr>
          <w:i/>
        </w:rPr>
        <w:t>Fierro</w:t>
      </w:r>
      <w:r w:rsidRPr="004913BA">
        <w:t xml:space="preserve">, 39 F.4th at 648; </w:t>
      </w:r>
      <w:r w:rsidRPr="004913BA">
        <w:rPr>
          <w:i/>
        </w:rPr>
        <w:t>Norwood</w:t>
      </w:r>
      <w:r w:rsidRPr="004913BA">
        <w:t xml:space="preserve">, 591 F.3d at 1067. Where the parties </w:t>
      </w:r>
      <w:r w:rsidRPr="00B054A4">
        <w:rPr>
          <w:szCs w:val="24"/>
        </w:rPr>
        <w:t>agree</w:t>
      </w:r>
      <w:r w:rsidRPr="004913BA">
        <w:t xml:space="preserve"> that </w:t>
      </w:r>
      <w:r w:rsidRPr="00B054A4">
        <w:rPr>
          <w:szCs w:val="24"/>
        </w:rPr>
        <w:t>one condition is met and one is absent,</w:t>
      </w:r>
      <w:r w:rsidRPr="004913BA">
        <w:t xml:space="preserve"> or </w:t>
      </w:r>
      <w:r w:rsidRPr="00B054A4">
        <w:rPr>
          <w:szCs w:val="24"/>
        </w:rPr>
        <w:t xml:space="preserve">that </w:t>
      </w:r>
      <w:r w:rsidRPr="004913BA">
        <w:t xml:space="preserve">both conditions are </w:t>
      </w:r>
      <w:r w:rsidRPr="00B054A4">
        <w:rPr>
          <w:szCs w:val="24"/>
        </w:rPr>
        <w:t>absent</w:t>
      </w:r>
      <w:r w:rsidRPr="004913BA">
        <w:t xml:space="preserve">, then the trial court may not give the jury </w:t>
      </w:r>
      <w:r w:rsidRPr="00B054A4">
        <w:rPr>
          <w:szCs w:val="24"/>
        </w:rPr>
        <w:t xml:space="preserve">deference </w:t>
      </w:r>
      <w:r w:rsidRPr="004913BA">
        <w:t xml:space="preserve">instruction. </w:t>
      </w:r>
      <w:r w:rsidRPr="004913BA">
        <w:rPr>
          <w:i/>
        </w:rPr>
        <w:t>Fierro</w:t>
      </w:r>
      <w:r w:rsidRPr="004913BA">
        <w:t>, 39 F.4th at 648.</w:t>
      </w:r>
    </w:p>
    <w:p w14:paraId="4849FE6C" w14:textId="77777777" w:rsidR="0073137A" w:rsidRPr="004913BA" w:rsidRDefault="0073137A" w:rsidP="0073137A"/>
    <w:p w14:paraId="59B25059" w14:textId="77777777" w:rsidR="0073137A" w:rsidRPr="005E4FA5" w:rsidRDefault="0073137A" w:rsidP="0073137A">
      <w:pPr>
        <w:autoSpaceDE w:val="0"/>
        <w:autoSpaceDN w:val="0"/>
        <w:adjustRightInd w:val="0"/>
        <w:ind w:firstLine="720"/>
        <w:rPr>
          <w:rFonts w:eastAsia="Calibri" w:cs="Times New Roman"/>
        </w:rPr>
      </w:pPr>
      <w:r w:rsidRPr="004913BA">
        <w:t xml:space="preserve">In cases involving the denial of medical care to prisoners, which highlight </w:t>
      </w:r>
      <w:r w:rsidRPr="004913BA">
        <w:rPr>
          <w:i/>
        </w:rPr>
        <w:t>Bell</w:t>
      </w:r>
      <w:r w:rsidRPr="004913BA">
        <w:t xml:space="preserve">’s first condition (whether the policy or procedure addressed the need for prison security), the deference instruction should not be given “unless a party’s presentation of the case draws a plausible connection between a security-based policy or practice and the challenged medical care decision.” </w:t>
      </w:r>
      <w:r w:rsidRPr="004913BA">
        <w:rPr>
          <w:i/>
        </w:rPr>
        <w:t>Chess v. Dovey</w:t>
      </w:r>
      <w:r w:rsidRPr="004913BA">
        <w:t xml:space="preserve">, 790 F.3d 961, 972 (9th Cir. 2015); </w:t>
      </w:r>
      <w:r w:rsidRPr="004913BA">
        <w:rPr>
          <w:i/>
        </w:rPr>
        <w:t>see also</w:t>
      </w:r>
      <w:r w:rsidRPr="00FC46FC">
        <w:t xml:space="preserve"> </w:t>
      </w:r>
      <w:r w:rsidRPr="004913BA">
        <w:rPr>
          <w:i/>
        </w:rPr>
        <w:t>Shorter</w:t>
      </w:r>
      <w:r w:rsidRPr="004913BA">
        <w:t xml:space="preserve">, 895 F.3d at 1184 (holding that “the [jury deference] instruction may be given only when there is evidence that the treatment to which the plaintiff objects was provided pursuant to a security-based policy”); </w:t>
      </w:r>
      <w:r w:rsidRPr="004913BA">
        <w:rPr>
          <w:i/>
        </w:rPr>
        <w:t xml:space="preserve">Coston v. </w:t>
      </w:r>
      <w:proofErr w:type="spellStart"/>
      <w:r w:rsidRPr="004913BA">
        <w:rPr>
          <w:i/>
        </w:rPr>
        <w:t>Nangalama</w:t>
      </w:r>
      <w:proofErr w:type="spellEnd"/>
      <w:r w:rsidRPr="004913BA">
        <w:t>, 13 F.4th 729, 734 (9th Cir. 2021) (holding, in a medical care case, that the deference instruction should not have been given because, among other things, defendants “did not draw a plausible connection between a security-based policy or practice and the challenged decision to terminate [defendant’s] morphine prescription without tapering”).</w:t>
      </w:r>
    </w:p>
    <w:p w14:paraId="28C13B61" w14:textId="77777777" w:rsidR="0073137A" w:rsidRPr="00B054A4" w:rsidRDefault="0073137A" w:rsidP="0073137A">
      <w:pPr>
        <w:rPr>
          <w:szCs w:val="24"/>
        </w:rPr>
      </w:pPr>
    </w:p>
    <w:p w14:paraId="180FB1F0" w14:textId="77777777" w:rsidR="0073137A" w:rsidRPr="004913BA" w:rsidRDefault="0073137A" w:rsidP="0073137A">
      <w:r w:rsidRPr="00B054A4">
        <w:rPr>
          <w:szCs w:val="24"/>
        </w:rPr>
        <w:tab/>
      </w:r>
      <w:r w:rsidRPr="004913BA">
        <w:t xml:space="preserve">In a case highlighting </w:t>
      </w:r>
      <w:r w:rsidRPr="004913BA">
        <w:rPr>
          <w:i/>
        </w:rPr>
        <w:t>Bell</w:t>
      </w:r>
      <w:r w:rsidRPr="004913BA">
        <w:t xml:space="preserve">’s second condition (whether there was substantial evidence that prison officials had exaggerated their response), a deference instruction was not appropriate when the record contained substantial evidence that the jail’s search practice “was an unnecessary, unjustified, and exaggerated response to jail officials’ need for prison security.” </w:t>
      </w:r>
      <w:r w:rsidRPr="00B054A4">
        <w:rPr>
          <w:i/>
          <w:iCs/>
          <w:szCs w:val="24"/>
        </w:rPr>
        <w:t xml:space="preserve">Shorter, </w:t>
      </w:r>
      <w:r w:rsidRPr="00B054A4">
        <w:rPr>
          <w:szCs w:val="24"/>
        </w:rPr>
        <w:t xml:space="preserve">895 F.3d at 1184 (stating that “jail officials concede[d] that there was no legitimate penological purpose for shackling mentally ill, virtually unclothed, female pretrial detainees to their cell doors for hours at a time”).  </w:t>
      </w:r>
    </w:p>
    <w:p w14:paraId="2D29F26B" w14:textId="77777777" w:rsidR="0073137A" w:rsidRPr="004913BA" w:rsidRDefault="0073137A" w:rsidP="0073137A"/>
    <w:p w14:paraId="3D45CF7C" w14:textId="77777777" w:rsidR="0073137A" w:rsidRPr="004913BA" w:rsidRDefault="0073137A" w:rsidP="0073137A">
      <w:r w:rsidRPr="00B054A4">
        <w:rPr>
          <w:szCs w:val="24"/>
        </w:rPr>
        <w:tab/>
      </w:r>
      <w:r w:rsidRPr="004913BA">
        <w:t xml:space="preserve">Finally, </w:t>
      </w:r>
      <w:r w:rsidRPr="00B054A4">
        <w:rPr>
          <w:szCs w:val="24"/>
        </w:rPr>
        <w:t>in some cases, whether or not to give deference to prison officials should be left to</w:t>
      </w:r>
      <w:r w:rsidRPr="004913BA">
        <w:t xml:space="preserve"> the </w:t>
      </w:r>
      <w:r w:rsidRPr="00B054A4">
        <w:rPr>
          <w:szCs w:val="24"/>
        </w:rPr>
        <w:t xml:space="preserve">jury to decide. </w:t>
      </w:r>
      <w:r w:rsidRPr="00B054A4">
        <w:rPr>
          <w:i/>
          <w:iCs/>
          <w:szCs w:val="24"/>
        </w:rPr>
        <w:t xml:space="preserve">Coston, </w:t>
      </w:r>
      <w:r w:rsidRPr="00B054A4">
        <w:rPr>
          <w:szCs w:val="24"/>
        </w:rPr>
        <w:t xml:space="preserve">13 F.4th 735. If the </w:t>
      </w:r>
      <w:r w:rsidRPr="004913BA">
        <w:t>plaintiff offered substantial evidence that the prison official’s action “was not provided pursuant to a security-based policy or practice,” and the policy at issue was “an unnecessary, unjustified, or exaggerated response,” but in response the prison adduced substantial evidence that the prison official’s “actions were (1) taken because of a security-based policy or practice and (2)</w:t>
      </w:r>
      <w:r w:rsidRPr="00B054A4">
        <w:rPr>
          <w:szCs w:val="24"/>
        </w:rPr>
        <w:t> </w:t>
      </w:r>
      <w:r w:rsidRPr="004913BA">
        <w:t xml:space="preserve">necessary, justified, and not exaggerated,” </w:t>
      </w:r>
      <w:r w:rsidRPr="004913BA">
        <w:rPr>
          <w:i/>
        </w:rPr>
        <w:t>Coston</w:t>
      </w:r>
      <w:r w:rsidRPr="004913BA">
        <w:t xml:space="preserve">, 13 F.4th at 735, then “it might be appropriate to instruct the jury that ‘whether to give deference to prison officials [is] left to the jury to decide.’” </w:t>
      </w:r>
      <w:r w:rsidRPr="004913BA">
        <w:rPr>
          <w:i/>
        </w:rPr>
        <w:t>Fierro</w:t>
      </w:r>
      <w:r w:rsidRPr="004913BA">
        <w:t>, 39 F.4th</w:t>
      </w:r>
      <w:r w:rsidRPr="00FC46FC">
        <w:rPr>
          <w:i/>
        </w:rPr>
        <w:t xml:space="preserve"> </w:t>
      </w:r>
      <w:r w:rsidRPr="004913BA">
        <w:t xml:space="preserve">at 648-49 (citing </w:t>
      </w:r>
      <w:r w:rsidRPr="004913BA">
        <w:rPr>
          <w:i/>
        </w:rPr>
        <w:t>Coston</w:t>
      </w:r>
      <w:r w:rsidRPr="004913BA">
        <w:t>, 13 F.4th at 735).</w:t>
      </w:r>
    </w:p>
    <w:p w14:paraId="3A358F01" w14:textId="77777777" w:rsidR="0073137A" w:rsidRPr="00FC46FC" w:rsidRDefault="0073137A" w:rsidP="0073137A">
      <w:pPr>
        <w:autoSpaceDE w:val="0"/>
        <w:autoSpaceDN w:val="0"/>
        <w:adjustRightInd w:val="0"/>
        <w:rPr>
          <w:shd w:val="clear" w:color="auto" w:fill="FFFFFF"/>
        </w:rPr>
      </w:pPr>
    </w:p>
    <w:p w14:paraId="33BBF3BA" w14:textId="77777777" w:rsidR="0073137A" w:rsidRPr="005439DC" w:rsidRDefault="0073137A" w:rsidP="0073137A">
      <w:pPr>
        <w:ind w:firstLine="720"/>
        <w:rPr>
          <w:rFonts w:cs="Times New Roman"/>
          <w:szCs w:val="24"/>
        </w:rPr>
      </w:pPr>
      <w:r w:rsidRPr="00E15F60">
        <w:rPr>
          <w:rFonts w:eastAsia="Times New Roman" w:cs="Times New Roman"/>
          <w:szCs w:val="24"/>
          <w:shd w:val="clear" w:color="auto" w:fill="FFFFFF"/>
        </w:rPr>
        <w:lastRenderedPageBreak/>
        <w:t>This framework also applies to pretrial detainees challenging</w:t>
      </w:r>
      <w:r>
        <w:rPr>
          <w:rFonts w:eastAsia="Times New Roman" w:cs="Times New Roman"/>
          <w:szCs w:val="24"/>
          <w:shd w:val="clear" w:color="auto" w:fill="FFFFFF"/>
        </w:rPr>
        <w:t xml:space="preserve"> use of force and other conditions of confinement. </w:t>
      </w:r>
      <w:r w:rsidRPr="000C5DB5">
        <w:rPr>
          <w:rFonts w:eastAsia="Times New Roman" w:cs="Times New Roman"/>
          <w:i/>
          <w:iCs/>
          <w:szCs w:val="24"/>
          <w:shd w:val="clear" w:color="auto" w:fill="FFFFFF"/>
        </w:rPr>
        <w:t xml:space="preserve">See </w:t>
      </w:r>
      <w:r w:rsidRPr="006175AD">
        <w:rPr>
          <w:rFonts w:eastAsia="Times New Roman" w:cs="Times New Roman"/>
          <w:i/>
          <w:iCs/>
          <w:szCs w:val="24"/>
          <w:shd w:val="clear" w:color="auto" w:fill="FFFFFF"/>
        </w:rPr>
        <w:t>Fie</w:t>
      </w:r>
      <w:r>
        <w:rPr>
          <w:rFonts w:eastAsia="Times New Roman" w:cs="Times New Roman"/>
          <w:i/>
          <w:iCs/>
          <w:szCs w:val="24"/>
          <w:shd w:val="clear" w:color="auto" w:fill="FFFFFF"/>
        </w:rPr>
        <w:t>r</w:t>
      </w:r>
      <w:r w:rsidRPr="006175AD">
        <w:rPr>
          <w:rFonts w:eastAsia="Times New Roman" w:cs="Times New Roman"/>
          <w:i/>
          <w:iCs/>
          <w:szCs w:val="24"/>
          <w:shd w:val="clear" w:color="auto" w:fill="FFFFFF"/>
        </w:rPr>
        <w:t>ro</w:t>
      </w:r>
      <w:r w:rsidRPr="006175AD">
        <w:rPr>
          <w:rFonts w:eastAsia="Times New Roman" w:cs="Times New Roman"/>
          <w:szCs w:val="24"/>
          <w:shd w:val="clear" w:color="auto" w:fill="FFFFFF"/>
        </w:rPr>
        <w:t>,</w:t>
      </w:r>
      <w:r>
        <w:rPr>
          <w:rFonts w:eastAsia="Times New Roman" w:cs="Times New Roman"/>
          <w:szCs w:val="24"/>
          <w:shd w:val="clear" w:color="auto" w:fill="FFFFFF"/>
        </w:rPr>
        <w:t xml:space="preserve"> 39 F.4</w:t>
      </w:r>
      <w:r w:rsidRPr="00012BF1">
        <w:rPr>
          <w:rFonts w:eastAsia="Times New Roman" w:cs="Times New Roman"/>
          <w:szCs w:val="24"/>
          <w:shd w:val="clear" w:color="auto" w:fill="FFFFFF"/>
        </w:rPr>
        <w:t>th</w:t>
      </w:r>
      <w:r>
        <w:rPr>
          <w:rFonts w:eastAsia="Times New Roman" w:cs="Times New Roman"/>
          <w:szCs w:val="24"/>
          <w:shd w:val="clear" w:color="auto" w:fill="FFFFFF"/>
        </w:rPr>
        <w:t xml:space="preserve"> 648. n. 6 (“</w:t>
      </w:r>
      <w:r w:rsidRPr="00012BF1">
        <w:rPr>
          <w:rFonts w:eastAsia="Times New Roman" w:cs="Times New Roman"/>
          <w:szCs w:val="24"/>
          <w:shd w:val="clear" w:color="auto" w:fill="FFFFFF"/>
        </w:rPr>
        <w:t>This framework also applies to pretrial detainees challenging their conditions of confinement under the Fourteenth Amendment</w:t>
      </w:r>
      <w:r>
        <w:rPr>
          <w:rFonts w:eastAsia="Times New Roman" w:cs="Times New Roman"/>
          <w:szCs w:val="24"/>
          <w:shd w:val="clear" w:color="auto" w:fill="FFFFFF"/>
        </w:rPr>
        <w:t>.”).</w:t>
      </w:r>
      <w:r w:rsidRPr="006175AD">
        <w:rPr>
          <w:rFonts w:eastAsia="Times New Roman" w:cs="Times New Roman"/>
          <w:szCs w:val="24"/>
          <w:shd w:val="clear" w:color="auto" w:fill="FFFFFF"/>
        </w:rPr>
        <w:t xml:space="preserve"> A </w:t>
      </w:r>
      <w:r w:rsidRPr="007251BB">
        <w:rPr>
          <w:rFonts w:eastAsia="Times New Roman" w:cs="Times New Roman"/>
          <w:szCs w:val="24"/>
          <w:shd w:val="clear" w:color="auto" w:fill="FFFFFF"/>
        </w:rPr>
        <w:t>court must also account for the “legitimate interests that stem from [the government</w:t>
      </w:r>
      <w:r>
        <w:rPr>
          <w:rFonts w:eastAsia="Times New Roman" w:cs="Times New Roman"/>
          <w:szCs w:val="24"/>
          <w:shd w:val="clear" w:color="auto" w:fill="FFFFFF"/>
        </w:rPr>
        <w:t>’</w:t>
      </w:r>
      <w:r w:rsidRPr="007251BB">
        <w:rPr>
          <w:rFonts w:eastAsia="Times New Roman" w:cs="Times New Roman"/>
          <w:szCs w:val="24"/>
          <w:shd w:val="clear" w:color="auto" w:fill="FFFFFF"/>
        </w:rPr>
        <w:t xml:space="preserve">s] need to manage the facility in which the individual is detained,” appropriately deferring to “policies and practices that in </w:t>
      </w:r>
      <w:proofErr w:type="spellStart"/>
      <w:r w:rsidRPr="007251BB">
        <w:rPr>
          <w:rFonts w:eastAsia="Times New Roman" w:cs="Times New Roman"/>
          <w:szCs w:val="24"/>
          <w:shd w:val="clear" w:color="auto" w:fill="FFFFFF"/>
        </w:rPr>
        <w:t>th</w:t>
      </w:r>
      <w:proofErr w:type="spellEnd"/>
      <w:r w:rsidRPr="007251BB">
        <w:rPr>
          <w:rFonts w:eastAsia="Times New Roman" w:cs="Times New Roman"/>
          <w:szCs w:val="24"/>
          <w:shd w:val="clear" w:color="auto" w:fill="FFFFFF"/>
        </w:rPr>
        <w:t>[e] judgment” of jail officials “are needed to preserve internal order and discipline and to maintain institutional security.”</w:t>
      </w:r>
      <w:r w:rsidRPr="00A67018">
        <w:rPr>
          <w:rFonts w:eastAsia="Times New Roman" w:cs="Times New Roman"/>
          <w:i/>
          <w:iCs/>
          <w:szCs w:val="24"/>
          <w:shd w:val="clear" w:color="auto" w:fill="FFFFFF"/>
        </w:rPr>
        <w:t xml:space="preserve"> Kingsley</w:t>
      </w:r>
      <w:r>
        <w:rPr>
          <w:rFonts w:eastAsia="Times New Roman" w:cs="Times New Roman"/>
          <w:szCs w:val="24"/>
          <w:shd w:val="clear" w:color="auto" w:fill="FFFFFF"/>
        </w:rPr>
        <w:t xml:space="preserve">, </w:t>
      </w:r>
      <w:r w:rsidRPr="007251BB">
        <w:rPr>
          <w:rFonts w:eastAsia="Times New Roman" w:cs="Times New Roman"/>
          <w:szCs w:val="24"/>
          <w:shd w:val="clear" w:color="auto" w:fill="FFFFFF"/>
        </w:rPr>
        <w:t xml:space="preserve">576 U.S. </w:t>
      </w:r>
      <w:r>
        <w:rPr>
          <w:rFonts w:eastAsia="Times New Roman" w:cs="Times New Roman"/>
          <w:szCs w:val="24"/>
          <w:shd w:val="clear" w:color="auto" w:fill="FFFFFF"/>
        </w:rPr>
        <w:t>at</w:t>
      </w:r>
      <w:r w:rsidRPr="007251BB">
        <w:rPr>
          <w:rFonts w:eastAsia="Times New Roman" w:cs="Times New Roman"/>
          <w:szCs w:val="24"/>
          <w:shd w:val="clear" w:color="auto" w:fill="FFFFFF"/>
        </w:rPr>
        <w:t xml:space="preserve"> 397</w:t>
      </w:r>
      <w:r>
        <w:rPr>
          <w:rFonts w:eastAsia="Times New Roman" w:cs="Times New Roman"/>
          <w:szCs w:val="24"/>
          <w:shd w:val="clear" w:color="auto" w:fill="FFFFFF"/>
        </w:rPr>
        <w:t xml:space="preserve"> (quoting </w:t>
      </w:r>
      <w:r>
        <w:rPr>
          <w:rFonts w:eastAsia="Times New Roman" w:cs="Times New Roman"/>
          <w:i/>
          <w:iCs/>
          <w:szCs w:val="24"/>
          <w:shd w:val="clear" w:color="auto" w:fill="FFFFFF"/>
        </w:rPr>
        <w:t>Bell v. Wolfish</w:t>
      </w:r>
      <w:r>
        <w:rPr>
          <w:rFonts w:eastAsia="Times New Roman" w:cs="Times New Roman"/>
          <w:szCs w:val="24"/>
          <w:shd w:val="clear" w:color="auto" w:fill="FFFFFF"/>
        </w:rPr>
        <w:t xml:space="preserve">, 441 U.S. at 540). </w:t>
      </w:r>
      <w:r w:rsidRPr="005F79E5">
        <w:rPr>
          <w:rFonts w:eastAsia="Times New Roman" w:cs="Times New Roman"/>
          <w:i/>
          <w:iCs/>
          <w:szCs w:val="24"/>
          <w:shd w:val="clear" w:color="auto" w:fill="FFFFFF"/>
        </w:rPr>
        <w:t>See also Bell v</w:t>
      </w:r>
      <w:r>
        <w:rPr>
          <w:rFonts w:eastAsia="Times New Roman" w:cs="Times New Roman"/>
          <w:i/>
          <w:iCs/>
          <w:szCs w:val="24"/>
          <w:shd w:val="clear" w:color="auto" w:fill="FFFFFF"/>
        </w:rPr>
        <w:t xml:space="preserve">. </w:t>
      </w:r>
      <w:r w:rsidRPr="005F79E5">
        <w:rPr>
          <w:rFonts w:eastAsia="Times New Roman" w:cs="Times New Roman"/>
          <w:i/>
          <w:iCs/>
          <w:szCs w:val="24"/>
          <w:shd w:val="clear" w:color="auto" w:fill="FFFFFF"/>
        </w:rPr>
        <w:t>Williams</w:t>
      </w:r>
      <w:r w:rsidRPr="002E7A0C">
        <w:rPr>
          <w:rFonts w:eastAsia="Times New Roman" w:cs="Times New Roman"/>
          <w:szCs w:val="24"/>
          <w:shd w:val="clear" w:color="auto" w:fill="FFFFFF"/>
        </w:rPr>
        <w:t xml:space="preserve">, </w:t>
      </w:r>
      <w:r w:rsidRPr="000C01BE">
        <w:rPr>
          <w:rFonts w:eastAsia="Times New Roman" w:cs="Times New Roman"/>
          <w:szCs w:val="24"/>
          <w:shd w:val="clear" w:color="auto" w:fill="FFFFFF"/>
        </w:rPr>
        <w:t>108 F.4th 809, 828</w:t>
      </w:r>
      <w:r w:rsidRPr="002E7A0C">
        <w:rPr>
          <w:rFonts w:eastAsia="Times New Roman" w:cs="Times New Roman"/>
          <w:szCs w:val="24"/>
          <w:shd w:val="clear" w:color="auto" w:fill="FFFFFF"/>
        </w:rPr>
        <w:t xml:space="preserve"> (9th Cir</w:t>
      </w:r>
      <w:r>
        <w:rPr>
          <w:rFonts w:eastAsia="Times New Roman" w:cs="Times New Roman"/>
          <w:szCs w:val="24"/>
          <w:shd w:val="clear" w:color="auto" w:fill="FFFFFF"/>
        </w:rPr>
        <w:t xml:space="preserve">. </w:t>
      </w:r>
      <w:r w:rsidRPr="002E7A0C">
        <w:rPr>
          <w:rFonts w:eastAsia="Times New Roman" w:cs="Times New Roman"/>
          <w:szCs w:val="24"/>
          <w:shd w:val="clear" w:color="auto" w:fill="FFFFFF"/>
        </w:rPr>
        <w:t xml:space="preserve">2024) </w:t>
      </w:r>
      <w:r>
        <w:rPr>
          <w:rFonts w:eastAsia="Times New Roman" w:cs="Times New Roman"/>
          <w:szCs w:val="24"/>
          <w:shd w:val="clear" w:color="auto" w:fill="FFFFFF"/>
        </w:rPr>
        <w:t xml:space="preserve">(approving instructing the jury on </w:t>
      </w:r>
      <w:r w:rsidRPr="002E7A0C">
        <w:rPr>
          <w:rFonts w:eastAsia="Times New Roman" w:cs="Times New Roman"/>
          <w:szCs w:val="24"/>
          <w:shd w:val="clear" w:color="auto" w:fill="FFFFFF"/>
        </w:rPr>
        <w:t>deference owed to jail</w:t>
      </w:r>
      <w:r>
        <w:rPr>
          <w:rFonts w:eastAsia="Times New Roman" w:cs="Times New Roman"/>
          <w:szCs w:val="24"/>
          <w:shd w:val="clear" w:color="auto" w:fill="FFFFFF"/>
        </w:rPr>
        <w:t>’</w:t>
      </w:r>
      <w:r w:rsidRPr="002E7A0C">
        <w:rPr>
          <w:rFonts w:eastAsia="Times New Roman" w:cs="Times New Roman"/>
          <w:szCs w:val="24"/>
          <w:shd w:val="clear" w:color="auto" w:fill="FFFFFF"/>
        </w:rPr>
        <w:t>s security interests</w:t>
      </w:r>
      <w:r>
        <w:rPr>
          <w:rFonts w:eastAsia="Times New Roman" w:cs="Times New Roman"/>
          <w:szCs w:val="24"/>
          <w:shd w:val="clear" w:color="auto" w:fill="FFFFFF"/>
        </w:rPr>
        <w:t xml:space="preserve"> for pretrial detainee’s claims under the ADA and Rehabilitation Act: “</w:t>
      </w:r>
      <w:r w:rsidRPr="00D0095A">
        <w:rPr>
          <w:rFonts w:eastAsia="Times New Roman" w:cs="Times New Roman"/>
          <w:szCs w:val="24"/>
          <w:shd w:val="clear" w:color="auto" w:fill="FFFFFF"/>
        </w:rPr>
        <w:t>consider a detention facility's legitimate correctional interests, and whether there is a valid, rational connection between the action taken and the legitimate and neutral governmental interest put forward to justify it.”</w:t>
      </w:r>
      <w:r>
        <w:rPr>
          <w:rFonts w:eastAsia="Times New Roman" w:cs="Times New Roman"/>
          <w:szCs w:val="24"/>
          <w:shd w:val="clear" w:color="auto" w:fill="FFFFFF"/>
        </w:rPr>
        <w:t>).</w:t>
      </w:r>
    </w:p>
    <w:p w14:paraId="4C8202A8" w14:textId="77777777" w:rsidR="0073137A" w:rsidRPr="004913BA" w:rsidRDefault="0073137A" w:rsidP="0073137A">
      <w:pPr>
        <w:autoSpaceDE w:val="0"/>
        <w:autoSpaceDN w:val="0"/>
        <w:adjustRightInd w:val="0"/>
      </w:pPr>
    </w:p>
    <w:p w14:paraId="32ACC9F0" w14:textId="77777777" w:rsidR="0073137A" w:rsidRPr="004913BA" w:rsidRDefault="0073137A" w:rsidP="0073137A">
      <w:pPr>
        <w:autoSpaceDE w:val="0"/>
        <w:autoSpaceDN w:val="0"/>
        <w:adjustRightInd w:val="0"/>
      </w:pPr>
    </w:p>
    <w:p w14:paraId="2D4FC971" w14:textId="29CBCD09" w:rsidR="00B03D36" w:rsidRPr="0073137A" w:rsidRDefault="0073137A" w:rsidP="0073137A">
      <w:pPr>
        <w:jc w:val="right"/>
      </w:pPr>
      <w:r w:rsidRPr="00AE413F">
        <w:rPr>
          <w:rFonts w:cs="Times New Roman"/>
          <w:i/>
          <w:iCs/>
          <w:szCs w:val="24"/>
        </w:rPr>
        <w:t>Revised November 2024</w:t>
      </w:r>
      <w:bookmarkEnd w:id="2"/>
    </w:p>
    <w:sectPr w:rsidR="00B03D36" w:rsidRPr="007313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D72734"/>
    <w:multiLevelType w:val="hybridMultilevel"/>
    <w:tmpl w:val="39C83B84"/>
    <w:lvl w:ilvl="0" w:tplc="8F121BA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04331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FB"/>
    <w:rsid w:val="00133B11"/>
    <w:rsid w:val="001B2DC0"/>
    <w:rsid w:val="00277CB1"/>
    <w:rsid w:val="002F3D5D"/>
    <w:rsid w:val="00341228"/>
    <w:rsid w:val="0043667B"/>
    <w:rsid w:val="004A269F"/>
    <w:rsid w:val="004E5E65"/>
    <w:rsid w:val="00547BD9"/>
    <w:rsid w:val="00555AA4"/>
    <w:rsid w:val="00572F74"/>
    <w:rsid w:val="0058249A"/>
    <w:rsid w:val="00610EC8"/>
    <w:rsid w:val="00645E89"/>
    <w:rsid w:val="0073137A"/>
    <w:rsid w:val="00922469"/>
    <w:rsid w:val="00AD0E12"/>
    <w:rsid w:val="00B03D36"/>
    <w:rsid w:val="00CA6337"/>
    <w:rsid w:val="00DA6AD6"/>
    <w:rsid w:val="00DC5CFB"/>
    <w:rsid w:val="00E62DEA"/>
    <w:rsid w:val="00F2425A"/>
    <w:rsid w:val="00FC4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1A6C"/>
  <w15:chartTrackingRefBased/>
  <w15:docId w15:val="{A4859FDD-F396-4ADC-8C99-91602387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CFB"/>
    <w:pPr>
      <w:spacing w:after="0" w:line="240" w:lineRule="auto"/>
    </w:pPr>
    <w:rPr>
      <w:rFonts w:ascii="Times New Roman" w:hAnsi="Times New Roman"/>
      <w:kern w:val="0"/>
      <w:szCs w:val="22"/>
      <w14:ligatures w14:val="none"/>
    </w:rPr>
  </w:style>
  <w:style w:type="paragraph" w:styleId="Heading1">
    <w:name w:val="heading 1"/>
    <w:aliases w:val="JIC Headings"/>
    <w:basedOn w:val="Normal"/>
    <w:next w:val="Normal"/>
    <w:link w:val="Heading1Char"/>
    <w:uiPriority w:val="9"/>
    <w:qFormat/>
    <w:rsid w:val="00922469"/>
    <w:pPr>
      <w:keepNext/>
      <w:keepLines/>
      <w:jc w:val="center"/>
      <w:outlineLvl w:val="0"/>
    </w:pPr>
    <w:rPr>
      <w:rFonts w:eastAsiaTheme="majorEastAsia" w:cstheme="majorBidi"/>
      <w:b/>
      <w:color w:val="000000" w:themeColor="text1"/>
      <w:szCs w:val="40"/>
    </w:rPr>
  </w:style>
  <w:style w:type="paragraph" w:styleId="Heading2">
    <w:name w:val="heading 2"/>
    <w:basedOn w:val="Normal"/>
    <w:next w:val="Normal"/>
    <w:link w:val="Heading2Char"/>
    <w:uiPriority w:val="9"/>
    <w:unhideWhenUsed/>
    <w:qFormat/>
    <w:rsid w:val="00DC5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JIC Headings Char"/>
    <w:basedOn w:val="DefaultParagraphFont"/>
    <w:link w:val="Heading1"/>
    <w:uiPriority w:val="9"/>
    <w:rsid w:val="00922469"/>
    <w:rPr>
      <w:rFonts w:ascii="Times New Roman" w:eastAsiaTheme="majorEastAsia" w:hAnsi="Times New Roman" w:cstheme="majorBidi"/>
      <w:b/>
      <w:color w:val="000000" w:themeColor="text1"/>
      <w:szCs w:val="40"/>
    </w:rPr>
  </w:style>
  <w:style w:type="character" w:customStyle="1" w:styleId="Heading2Char">
    <w:name w:val="Heading 2 Char"/>
    <w:basedOn w:val="DefaultParagraphFont"/>
    <w:link w:val="Heading2"/>
    <w:uiPriority w:val="9"/>
    <w:rsid w:val="00DC5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CFB"/>
    <w:rPr>
      <w:rFonts w:eastAsiaTheme="majorEastAsia" w:cstheme="majorBidi"/>
      <w:color w:val="272727" w:themeColor="text1" w:themeTint="D8"/>
    </w:rPr>
  </w:style>
  <w:style w:type="paragraph" w:styleId="Title">
    <w:name w:val="Title"/>
    <w:basedOn w:val="Normal"/>
    <w:next w:val="Normal"/>
    <w:link w:val="TitleChar"/>
    <w:uiPriority w:val="10"/>
    <w:qFormat/>
    <w:rsid w:val="00DC5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CFB"/>
    <w:pPr>
      <w:spacing w:before="160"/>
      <w:jc w:val="center"/>
    </w:pPr>
    <w:rPr>
      <w:i/>
      <w:iCs/>
      <w:color w:val="404040" w:themeColor="text1" w:themeTint="BF"/>
    </w:rPr>
  </w:style>
  <w:style w:type="character" w:customStyle="1" w:styleId="QuoteChar">
    <w:name w:val="Quote Char"/>
    <w:basedOn w:val="DefaultParagraphFont"/>
    <w:link w:val="Quote"/>
    <w:uiPriority w:val="29"/>
    <w:rsid w:val="00DC5CFB"/>
    <w:rPr>
      <w:i/>
      <w:iCs/>
      <w:color w:val="404040" w:themeColor="text1" w:themeTint="BF"/>
    </w:rPr>
  </w:style>
  <w:style w:type="paragraph" w:styleId="ListParagraph">
    <w:name w:val="List Paragraph"/>
    <w:basedOn w:val="Normal"/>
    <w:uiPriority w:val="34"/>
    <w:qFormat/>
    <w:rsid w:val="00DC5CFB"/>
    <w:pPr>
      <w:ind w:left="720"/>
      <w:contextualSpacing/>
    </w:pPr>
  </w:style>
  <w:style w:type="character" w:styleId="IntenseEmphasis">
    <w:name w:val="Intense Emphasis"/>
    <w:basedOn w:val="DefaultParagraphFont"/>
    <w:uiPriority w:val="21"/>
    <w:qFormat/>
    <w:rsid w:val="00DC5CFB"/>
    <w:rPr>
      <w:i/>
      <w:iCs/>
      <w:color w:val="0F4761" w:themeColor="accent1" w:themeShade="BF"/>
    </w:rPr>
  </w:style>
  <w:style w:type="paragraph" w:styleId="IntenseQuote">
    <w:name w:val="Intense Quote"/>
    <w:basedOn w:val="Normal"/>
    <w:next w:val="Normal"/>
    <w:link w:val="IntenseQuoteChar"/>
    <w:uiPriority w:val="30"/>
    <w:qFormat/>
    <w:rsid w:val="00DC5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CFB"/>
    <w:rPr>
      <w:i/>
      <w:iCs/>
      <w:color w:val="0F4761" w:themeColor="accent1" w:themeShade="BF"/>
    </w:rPr>
  </w:style>
  <w:style w:type="character" w:styleId="IntenseReference">
    <w:name w:val="Intense Reference"/>
    <w:basedOn w:val="DefaultParagraphFont"/>
    <w:uiPriority w:val="32"/>
    <w:qFormat/>
    <w:rsid w:val="00DC5CFB"/>
    <w:rPr>
      <w:b/>
      <w:bCs/>
      <w:smallCaps/>
      <w:color w:val="0F4761" w:themeColor="accent1" w:themeShade="BF"/>
      <w:spacing w:val="5"/>
    </w:rPr>
  </w:style>
  <w:style w:type="paragraph" w:customStyle="1" w:styleId="DoubleSpace">
    <w:name w:val="Double Space"/>
    <w:qFormat/>
    <w:rsid w:val="00FC4ED8"/>
    <w:pPr>
      <w:widowControl w:val="0"/>
      <w:spacing w:after="0" w:line="480" w:lineRule="exact"/>
      <w:jc w:val="both"/>
    </w:pPr>
    <w:rPr>
      <w:rFonts w:ascii="Times New Roman" w:hAnsi="Times New Roman"/>
      <w:kern w:val="0"/>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1676</Words>
  <Characters>9556</Characters>
  <Application>Microsoft Office Word</Application>
  <DocSecurity>0</DocSecurity>
  <Lines>79</Lines>
  <Paragraphs>22</Paragraphs>
  <ScaleCrop>false</ScaleCrop>
  <Company>United States Courts</Company>
  <LinksUpToDate>false</LinksUpToDate>
  <CharactersWithSpaces>11210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4</cp:revision>
  <dcterms:created xsi:type="dcterms:W3CDTF">2025-01-08T00:37:00Z</dcterms:created>
  <dcterms:modified xsi:type="dcterms:W3CDTF">2025-01-14T23:07:00Z</dcterms:modified>
</cp:coreProperties>
</file>