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F3F96" w14:textId="77777777" w:rsidR="00BC64CE" w:rsidRPr="004913BA" w:rsidRDefault="00BC64CE" w:rsidP="00BC64CE">
      <w:pPr>
        <w:pStyle w:val="Heading1"/>
      </w:pPr>
      <w:bookmarkStart w:id="0" w:name="_Toc167357279"/>
      <w:bookmarkStart w:id="1" w:name="_Toc184822674"/>
      <w:r w:rsidRPr="004913BA">
        <w:t xml:space="preserve">9.31 Particular Rights—Fourteenth Amendment—Pretrial </w:t>
      </w:r>
      <w:r w:rsidRPr="004913BA">
        <w:br/>
        <w:t>Detainee’s Claim of Failure to Protect</w:t>
      </w:r>
      <w:bookmarkEnd w:id="0"/>
      <w:bookmarkEnd w:id="1"/>
    </w:p>
    <w:p w14:paraId="081746BC" w14:textId="77777777" w:rsidR="00BC64CE" w:rsidRPr="004913BA" w:rsidRDefault="00BC64CE" w:rsidP="00BC64CE"/>
    <w:p w14:paraId="00013F04" w14:textId="77777777" w:rsidR="00BC64CE" w:rsidRPr="004913BA" w:rsidRDefault="00BC64CE" w:rsidP="00BC64CE">
      <w:r w:rsidRPr="004913BA">
        <w:tab/>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w:t>
      </w:r>
      <w:r w:rsidRPr="0088502D">
        <w:rPr>
          <w:i/>
          <w:u w:val="single"/>
        </w:rPr>
        <w:t>insert factual basis of the plaintiff’s claim</w:t>
      </w:r>
      <w:r w:rsidRPr="004913BA">
        <w:t xml:space="preserve">]. Under the Fourteenth Amendment, a pretrial detainee has the right to be protected while in custody.  </w:t>
      </w:r>
    </w:p>
    <w:p w14:paraId="4ADB3014" w14:textId="77777777" w:rsidR="00BC64CE" w:rsidRPr="004913BA" w:rsidRDefault="00BC64CE" w:rsidP="00BC64CE"/>
    <w:p w14:paraId="55D04EE0" w14:textId="77777777" w:rsidR="00BC64CE" w:rsidRPr="004913BA" w:rsidRDefault="00BC64CE" w:rsidP="00BC64CE">
      <w:pPr>
        <w:ind w:firstLine="720"/>
      </w:pPr>
      <w:r w:rsidRPr="004913BA">
        <w:t xml:space="preserve">To prove the defendant deprived the plaintiff of this right, the plaintiff must prove the following additional elements by a preponderance of the evidence:  </w:t>
      </w:r>
    </w:p>
    <w:p w14:paraId="336EC663" w14:textId="77777777" w:rsidR="00BC64CE" w:rsidRPr="004913BA" w:rsidRDefault="00BC64CE" w:rsidP="00BC64CE"/>
    <w:p w14:paraId="3BBD83BB" w14:textId="77777777" w:rsidR="00BC64CE" w:rsidRPr="004913BA" w:rsidRDefault="00BC64CE" w:rsidP="00BC64CE">
      <w:pPr>
        <w:ind w:left="1440" w:hanging="720"/>
      </w:pPr>
      <w:r w:rsidRPr="00844EC5">
        <w:rPr>
          <w:rFonts w:eastAsia="Calibri" w:cs="Times New Roman"/>
        </w:rPr>
        <w:t xml:space="preserve">First, </w:t>
      </w:r>
      <w:r>
        <w:rPr>
          <w:rFonts w:eastAsia="Calibri" w:cs="Times New Roman"/>
        </w:rPr>
        <w:t>t</w:t>
      </w:r>
      <w:r w:rsidRPr="00844EC5">
        <w:rPr>
          <w:rFonts w:eastAsia="Calibri" w:cs="Times New Roman"/>
        </w:rPr>
        <w:t>he</w:t>
      </w:r>
      <w:r w:rsidRPr="004913BA">
        <w:t xml:space="preserve"> defendant made an intentional decision regarding the conditions under which the plaintiff was </w:t>
      </w:r>
      <w:proofErr w:type="gramStart"/>
      <w:r w:rsidRPr="004913BA">
        <w:t>confined;</w:t>
      </w:r>
      <w:proofErr w:type="gramEnd"/>
      <w:r w:rsidRPr="004913BA">
        <w:t xml:space="preserve">  </w:t>
      </w:r>
    </w:p>
    <w:p w14:paraId="70736683" w14:textId="77777777" w:rsidR="00BC64CE" w:rsidRPr="004913BA" w:rsidRDefault="00BC64CE" w:rsidP="00BC64CE">
      <w:pPr>
        <w:ind w:left="1440" w:hanging="720"/>
      </w:pPr>
    </w:p>
    <w:p w14:paraId="163097AB" w14:textId="77777777" w:rsidR="00BC64CE" w:rsidRPr="004913BA" w:rsidRDefault="00BC64CE" w:rsidP="00BC64CE">
      <w:pPr>
        <w:ind w:left="1440" w:hanging="720"/>
      </w:pPr>
      <w:r w:rsidRPr="00844EC5">
        <w:rPr>
          <w:rFonts w:eastAsia="Calibri" w:cs="Times New Roman"/>
        </w:rPr>
        <w:t>Second, those</w:t>
      </w:r>
      <w:r w:rsidRPr="004913BA">
        <w:t xml:space="preserve"> conditions put the plaintiff at substantial risk of suffering serious </w:t>
      </w:r>
      <w:proofErr w:type="gramStart"/>
      <w:r w:rsidRPr="004913BA">
        <w:t>harm;</w:t>
      </w:r>
      <w:proofErr w:type="gramEnd"/>
      <w:r w:rsidRPr="004913BA">
        <w:t xml:space="preserve">  </w:t>
      </w:r>
    </w:p>
    <w:p w14:paraId="61373A22" w14:textId="77777777" w:rsidR="00BC64CE" w:rsidRPr="004913BA" w:rsidRDefault="00BC64CE" w:rsidP="00BC64CE">
      <w:pPr>
        <w:ind w:left="1440" w:hanging="720"/>
      </w:pPr>
    </w:p>
    <w:p w14:paraId="1EBE2157" w14:textId="77777777" w:rsidR="00BC64CE" w:rsidRPr="004913BA" w:rsidRDefault="00BC64CE" w:rsidP="00BC64CE">
      <w:pPr>
        <w:ind w:left="1440" w:hanging="720"/>
      </w:pPr>
      <w:r w:rsidRPr="00844EC5">
        <w:rPr>
          <w:rFonts w:eastAsia="Calibri" w:cs="Times New Roman"/>
        </w:rPr>
        <w:t>Third, the</w:t>
      </w:r>
      <w:r w:rsidRPr="004913BA">
        <w:t xml:space="preserve"> defendant did not take reasonable available measures to abate or reduce that risk, even though a reasonable officer in the circumstances would have appreciated the high degree of risk involved—making the consequences of the defendant’s conduct obvious; and  </w:t>
      </w:r>
    </w:p>
    <w:p w14:paraId="7F11CB29" w14:textId="77777777" w:rsidR="00BC64CE" w:rsidRPr="004913BA" w:rsidRDefault="00BC64CE" w:rsidP="00BC64CE">
      <w:pPr>
        <w:ind w:left="1440" w:hanging="720"/>
      </w:pPr>
    </w:p>
    <w:p w14:paraId="68ABEBD0" w14:textId="77777777" w:rsidR="00BC64CE" w:rsidRPr="004913BA" w:rsidRDefault="00BC64CE" w:rsidP="00BC64CE">
      <w:pPr>
        <w:ind w:left="1440" w:hanging="720"/>
      </w:pPr>
      <w:r w:rsidRPr="00844EC5">
        <w:rPr>
          <w:rFonts w:eastAsia="Calibri" w:cs="Times New Roman"/>
        </w:rPr>
        <w:t>Fourth, by</w:t>
      </w:r>
      <w:r w:rsidRPr="004913BA">
        <w:t xml:space="preserve"> not taking such measures, the defendant caused the plaintiff’s injuries.  </w:t>
      </w:r>
    </w:p>
    <w:p w14:paraId="26827796" w14:textId="77777777" w:rsidR="00BC64CE" w:rsidRPr="004913BA" w:rsidRDefault="00BC64CE" w:rsidP="00BC64CE"/>
    <w:p w14:paraId="763273FB" w14:textId="77777777" w:rsidR="00BC64CE" w:rsidRPr="004913BA" w:rsidRDefault="00BC64CE" w:rsidP="00BC64CE">
      <w:r w:rsidRPr="004913BA">
        <w:tab/>
        <w:t xml:space="preserve">With respect to the third element, the defendant’s conduct must be objectively unreasonable.  </w:t>
      </w:r>
    </w:p>
    <w:p w14:paraId="089850C2" w14:textId="77777777" w:rsidR="00BC64CE" w:rsidRPr="004913BA" w:rsidRDefault="00BC64CE" w:rsidP="00BC64CE"/>
    <w:p w14:paraId="565EDD98" w14:textId="77777777" w:rsidR="00BC64CE" w:rsidRPr="004913BA" w:rsidRDefault="00BC64CE" w:rsidP="00BC64CE">
      <w:pPr>
        <w:jc w:val="center"/>
        <w:rPr>
          <w:b/>
        </w:rPr>
      </w:pPr>
      <w:r w:rsidRPr="004913BA">
        <w:rPr>
          <w:b/>
        </w:rPr>
        <w:t>Comment</w:t>
      </w:r>
    </w:p>
    <w:p w14:paraId="1067F620" w14:textId="77777777" w:rsidR="00BC64CE" w:rsidRPr="004913BA" w:rsidRDefault="00BC64CE" w:rsidP="00BC64CE"/>
    <w:p w14:paraId="7F59DE4C" w14:textId="77777777" w:rsidR="00BC64CE" w:rsidRPr="004913BA" w:rsidRDefault="00BC64CE" w:rsidP="00BC64CE">
      <w:pPr>
        <w:ind w:firstLine="720"/>
      </w:pPr>
      <w:r w:rsidRPr="004913BA">
        <w:t xml:space="preserve">After the Supreme Court decided </w:t>
      </w:r>
      <w:r w:rsidRPr="004913BA">
        <w:rPr>
          <w:i/>
        </w:rPr>
        <w:t>Kingsley</w:t>
      </w:r>
      <w:r w:rsidRPr="004913BA">
        <w:rPr>
          <w:i/>
          <w:color w:val="FF0000"/>
        </w:rPr>
        <w:t xml:space="preserve"> </w:t>
      </w:r>
      <w:r w:rsidRPr="004913BA">
        <w:rPr>
          <w:i/>
        </w:rPr>
        <w:t>v. Hendrickson</w:t>
      </w:r>
      <w:r w:rsidRPr="004913BA">
        <w:t xml:space="preserve">, 576 U.S. 389 (2015), the Ninth Circuit decided </w:t>
      </w:r>
      <w:r w:rsidRPr="004913BA">
        <w:rPr>
          <w:i/>
        </w:rPr>
        <w:t>Castro v. County of Los Angeles</w:t>
      </w:r>
      <w:r w:rsidRPr="004913BA">
        <w:t>, 833 F.3d 1060 (9th Cir. 2016) (</w:t>
      </w:r>
      <w:proofErr w:type="spellStart"/>
      <w:r w:rsidRPr="004913BA">
        <w:t>en</w:t>
      </w:r>
      <w:proofErr w:type="spellEnd"/>
      <w:r w:rsidRPr="004913BA">
        <w:t xml:space="preserve"> banc). In </w:t>
      </w:r>
      <w:r w:rsidRPr="004913BA">
        <w:rPr>
          <w:i/>
        </w:rPr>
        <w:t>Castro</w:t>
      </w:r>
      <w:r w:rsidRPr="004913BA">
        <w:t xml:space="preserve">, the Ninth Circuit held that Castro, a pretrial detainee who was injured by an inmate while detained in a sobering cell, “had a due process right to be free from violence from other inmates.” </w:t>
      </w:r>
      <w:r w:rsidRPr="004913BA">
        <w:rPr>
          <w:i/>
        </w:rPr>
        <w:t>Id.</w:t>
      </w:r>
      <w:r w:rsidRPr="004913BA">
        <w:t xml:space="preserve"> at 1067. The Ninth Circuit focused its discussion on the Fourteenth Amendment, but “neither Castro nor the majority claim[ed] that any other constitutional right [was] at issue.” </w:t>
      </w:r>
      <w:r w:rsidRPr="004913BA">
        <w:rPr>
          <w:i/>
        </w:rPr>
        <w:t>Id</w:t>
      </w:r>
      <w:r w:rsidRPr="004913BA">
        <w:t xml:space="preserve">. at 1067-70, 1084 (Ikuta, J., dissenting). Analogizing to the Supreme Court’s excessive force analysis in </w:t>
      </w:r>
      <w:r w:rsidRPr="004913BA">
        <w:rPr>
          <w:i/>
        </w:rPr>
        <w:t>Kingsley</w:t>
      </w:r>
      <w:r w:rsidRPr="004913BA">
        <w:t xml:space="preserve">, the Ninth Circuit in </w:t>
      </w:r>
      <w:r w:rsidRPr="004913BA">
        <w:rPr>
          <w:i/>
        </w:rPr>
        <w:t xml:space="preserve">Castro </w:t>
      </w:r>
      <w:r w:rsidRPr="004913BA">
        <w:t xml:space="preserve">approved the following elements for a pretrial detainee’s failure-to-protect claim under the Fourteenth Amendment: </w:t>
      </w:r>
    </w:p>
    <w:p w14:paraId="35B1FE0D" w14:textId="77777777" w:rsidR="00BC64CE" w:rsidRPr="004913BA" w:rsidRDefault="00BC64CE" w:rsidP="00BC64CE">
      <w:pPr>
        <w:ind w:firstLine="720"/>
      </w:pPr>
    </w:p>
    <w:p w14:paraId="086BF6B1" w14:textId="77777777" w:rsidR="00BC64CE" w:rsidRPr="004913BA" w:rsidRDefault="00BC64CE" w:rsidP="00BC64CE">
      <w:pPr>
        <w:ind w:left="720" w:right="720"/>
        <w:jc w:val="both"/>
      </w:pPr>
      <w:r w:rsidRPr="004913BA">
        <w:t xml:space="preserve">(1) The defendant made an intentional decision with respect to the conditions under which the plaintiff was confined; (2) Those conditions put the plaintiff at substantial risk of suffering serious harm; (3) The defendant did not take reasonable available measures to abate that risk, even though a reasonable officer in the circumstances would have appreciated the high degree of risk involved—making the </w:t>
      </w:r>
      <w:r w:rsidRPr="004913BA">
        <w:lastRenderedPageBreak/>
        <w:t xml:space="preserve">consequences of the defendant’s conduct obvious; and (4) By not taking such measures, the defendant caused the plaintiff’s injuries. </w:t>
      </w:r>
    </w:p>
    <w:p w14:paraId="30E3A018" w14:textId="77777777" w:rsidR="00BC64CE" w:rsidRPr="004913BA" w:rsidRDefault="00BC64CE" w:rsidP="00BC64CE">
      <w:pPr>
        <w:rPr>
          <w:i/>
        </w:rPr>
      </w:pPr>
    </w:p>
    <w:p w14:paraId="2781909D" w14:textId="77777777" w:rsidR="00BC64CE" w:rsidRPr="004913BA" w:rsidRDefault="00BC64CE" w:rsidP="00BC64CE">
      <w:r w:rsidRPr="004913BA">
        <w:rPr>
          <w:i/>
        </w:rPr>
        <w:t>Id.</w:t>
      </w:r>
      <w:r w:rsidRPr="004913BA">
        <w:t xml:space="preserve"> at 1071.</w:t>
      </w:r>
    </w:p>
    <w:p w14:paraId="30958CFC" w14:textId="77777777" w:rsidR="00BC64CE" w:rsidRPr="004913BA" w:rsidRDefault="00BC64CE" w:rsidP="00BC64CE"/>
    <w:p w14:paraId="744E70FE" w14:textId="77777777" w:rsidR="00BC64CE" w:rsidRPr="004913BA" w:rsidRDefault="00BC64CE" w:rsidP="00BC64CE">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0051AB20" w14:textId="77777777" w:rsidR="00BC64CE" w:rsidRPr="004913BA" w:rsidRDefault="00BC64CE" w:rsidP="00BC64CE">
      <w:pPr>
        <w:ind w:firstLine="720"/>
      </w:pPr>
    </w:p>
    <w:p w14:paraId="581E9F00" w14:textId="77777777" w:rsidR="00BC64CE" w:rsidRPr="004913BA" w:rsidRDefault="00BC64CE" w:rsidP="00BC64CE">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29C69B92" w14:textId="77777777" w:rsidR="00BC64CE" w:rsidRPr="004913BA" w:rsidRDefault="00BC64CE" w:rsidP="00BC64CE"/>
    <w:p w14:paraId="434AE65D" w14:textId="77777777" w:rsidR="00BC64CE" w:rsidRPr="004913BA" w:rsidRDefault="00BC64CE" w:rsidP="00BC64CE">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2B744BB6" w14:textId="77777777" w:rsidR="00BC64CE" w:rsidRPr="004913BA" w:rsidRDefault="00BC64CE" w:rsidP="00BC64CE"/>
    <w:p w14:paraId="27895B5D" w14:textId="77777777" w:rsidR="00BC64CE" w:rsidRPr="004913BA" w:rsidRDefault="00BC64CE" w:rsidP="00BC64CE">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w:t>
      </w:r>
      <w:r w:rsidRPr="004913BA">
        <w:lastRenderedPageBreak/>
        <w:t xml:space="preserve">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5B82B4E2" w14:textId="77777777" w:rsidR="00BC64CE" w:rsidRPr="004913BA" w:rsidRDefault="00BC64CE" w:rsidP="00BC64CE"/>
    <w:p w14:paraId="4062217C" w14:textId="77777777" w:rsidR="00BC64CE" w:rsidRPr="004913BA" w:rsidRDefault="00BC64CE" w:rsidP="00BC64CE">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0FAB74A8" w14:textId="77777777" w:rsidR="00BC64CE" w:rsidRPr="004913BA" w:rsidRDefault="00BC64CE" w:rsidP="00BC64CE"/>
    <w:p w14:paraId="3FA70602" w14:textId="77777777" w:rsidR="00BC64CE" w:rsidRPr="004913BA" w:rsidRDefault="00BC64CE" w:rsidP="00BC64CE">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059E3E51" w14:textId="77777777" w:rsidR="00BC64CE" w:rsidRDefault="00BC64CE" w:rsidP="00BC64CE">
      <w:pPr>
        <w:autoSpaceDE w:val="0"/>
        <w:autoSpaceDN w:val="0"/>
        <w:adjustRightInd w:val="0"/>
        <w:rPr>
          <w:rFonts w:eastAsia="Times New Roman" w:cs="Times New Roman"/>
          <w:szCs w:val="24"/>
          <w:shd w:val="clear" w:color="auto" w:fill="FFFFFF"/>
        </w:rPr>
      </w:pPr>
    </w:p>
    <w:p w14:paraId="22C956C2" w14:textId="77777777" w:rsidR="00BC64CE" w:rsidRPr="005439DC" w:rsidRDefault="00BC64CE" w:rsidP="00BC64CE">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8C2296">
        <w:rPr>
          <w:rFonts w:eastAsia="Times New Roman" w:cs="Times New Roman"/>
          <w:szCs w:val="24"/>
          <w:shd w:val="clear" w:color="auto" w:fill="FFFFFF"/>
        </w:rPr>
        <w:t>108 F.4th 809,828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21122632" w14:textId="77777777" w:rsidR="00BC64CE" w:rsidRPr="004913BA" w:rsidRDefault="00BC64CE" w:rsidP="00BC64CE">
      <w:pPr>
        <w:autoSpaceDE w:val="0"/>
        <w:autoSpaceDN w:val="0"/>
        <w:adjustRightInd w:val="0"/>
      </w:pPr>
    </w:p>
    <w:p w14:paraId="50501E36" w14:textId="77777777" w:rsidR="00BC64CE" w:rsidRPr="004913BA" w:rsidRDefault="00BC64CE" w:rsidP="00BC64CE">
      <w:pPr>
        <w:autoSpaceDE w:val="0"/>
        <w:autoSpaceDN w:val="0"/>
        <w:adjustRightInd w:val="0"/>
      </w:pPr>
      <w:r w:rsidRPr="004913BA">
        <w:tab/>
        <w:t xml:space="preserve">The Fourth Amendment may also be applicable. In </w:t>
      </w:r>
      <w:r w:rsidRPr="004913BA">
        <w:rPr>
          <w:i/>
        </w:rPr>
        <w:t>Graham v. Connor</w:t>
      </w:r>
      <w:r w:rsidRPr="004913BA">
        <w:t>, 490 U.S. 386,</w:t>
      </w:r>
    </w:p>
    <w:p w14:paraId="2CA3D37D" w14:textId="77777777" w:rsidR="00BC64CE" w:rsidRPr="004913BA" w:rsidRDefault="00BC64CE" w:rsidP="00BC64CE">
      <w:pPr>
        <w:autoSpaceDE w:val="0"/>
        <w:autoSpaceDN w:val="0"/>
        <w:adjustRightInd w:val="0"/>
      </w:pPr>
      <w:r w:rsidRPr="004913BA">
        <w:t>395 n.10 (1989), the Supreme Court observed that it was an open question “whether the Fourth</w:t>
      </w:r>
    </w:p>
    <w:p w14:paraId="23F51C08" w14:textId="77777777" w:rsidR="00BC64CE" w:rsidRPr="004913BA" w:rsidRDefault="00BC64CE" w:rsidP="00BC64CE">
      <w:pPr>
        <w:autoSpaceDE w:val="0"/>
        <w:autoSpaceDN w:val="0"/>
        <w:adjustRightInd w:val="0"/>
      </w:pPr>
      <w:r w:rsidRPr="004913BA">
        <w:t>Amendment continues to provide individuals with protection against deliberate use of excessive</w:t>
      </w:r>
    </w:p>
    <w:p w14:paraId="0D412C89" w14:textId="77777777" w:rsidR="00BC64CE" w:rsidRPr="004913BA" w:rsidRDefault="00BC64CE" w:rsidP="00BC64CE">
      <w:pPr>
        <w:autoSpaceDE w:val="0"/>
        <w:autoSpaceDN w:val="0"/>
        <w:adjustRightInd w:val="0"/>
      </w:pPr>
      <w:r w:rsidRPr="004913BA">
        <w:t>physical force beyond the point at which arrest ends and pretrial detention begins.” But with</w:t>
      </w:r>
    </w:p>
    <w:p w14:paraId="18563E24" w14:textId="77777777" w:rsidR="00BC64CE" w:rsidRPr="004913BA" w:rsidRDefault="00BC64CE" w:rsidP="00BC64CE">
      <w:pPr>
        <w:autoSpaceDE w:val="0"/>
        <w:autoSpaceDN w:val="0"/>
        <w:adjustRightInd w:val="0"/>
      </w:pPr>
      <w:r w:rsidRPr="004913BA">
        <w:t>regard to pre-arraignment custody, the Ninth Circuit held that the Fourth Amendment</w:t>
      </w:r>
    </w:p>
    <w:p w14:paraId="3F9AB1A9" w14:textId="77777777" w:rsidR="00BC64CE" w:rsidRPr="004913BA" w:rsidRDefault="00BC64CE" w:rsidP="00BC64CE">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2C9E7E48" w14:textId="77777777" w:rsidR="00BC64CE" w:rsidRPr="004913BA" w:rsidRDefault="00BC64CE" w:rsidP="00BC64CE">
      <w:pPr>
        <w:autoSpaceDE w:val="0"/>
        <w:autoSpaceDN w:val="0"/>
        <w:adjustRightInd w:val="0"/>
      </w:pPr>
      <w:r w:rsidRPr="004913BA">
        <w:lastRenderedPageBreak/>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575F5A7C" w14:textId="77777777" w:rsidR="00BC64CE" w:rsidRPr="004913BA" w:rsidRDefault="00BC64CE" w:rsidP="00BC64CE"/>
    <w:p w14:paraId="001F2815" w14:textId="77777777" w:rsidR="00BC64CE" w:rsidRPr="004913BA" w:rsidRDefault="00BC64CE" w:rsidP="00BC64CE">
      <w:r w:rsidRPr="00FC46FC">
        <w:rPr>
          <w:color w:val="000000" w:themeColor="text1"/>
        </w:rPr>
        <w:tab/>
      </w:r>
      <w:r w:rsidRPr="004913BA">
        <w:t xml:space="preserve">In </w:t>
      </w:r>
      <w:r w:rsidRPr="004913BA">
        <w:rPr>
          <w:i/>
        </w:rPr>
        <w:t>Alexander v. Nguyen</w:t>
      </w:r>
      <w:r w:rsidRPr="004913BA">
        <w:t xml:space="preserve">, 78 F.4th 1140, 1144 (9th Cir. 2023), the Ninth Circuit noted that “the law governing pretrial detainees’ claims of inadequate medical care and other dangerous conditions of confinement is still developing in the wake of the Supreme Court’s decision in </w:t>
      </w:r>
      <w:bookmarkStart w:id="2" w:name="_Hlk157761360"/>
      <w:r w:rsidRPr="004913BA">
        <w:rPr>
          <w:i/>
        </w:rPr>
        <w:t>Kingsley v. Hendrickson</w:t>
      </w:r>
      <w:r w:rsidRPr="004913BA">
        <w:t>, 576 U.S. 389 (2015)</w:t>
      </w:r>
      <w:bookmarkEnd w:id="2"/>
      <w:r w:rsidRPr="004913BA">
        <w:t xml:space="preserve">.” </w:t>
      </w:r>
      <w:r w:rsidRPr="004913BA">
        <w:rPr>
          <w:i/>
        </w:rPr>
        <w:t>Alexander</w:t>
      </w:r>
      <w:r w:rsidRPr="004913BA">
        <w:t xml:space="preserve"> involved alleged failure to prevent violence among pretrial detainees. After Alexander was injured by another pretrial detainee, the defendant doctor evaluated the circumstances, consulted with others, and opted not to move Alexander. Less than two weeks later, the same pretrial detainee struck Alexander again. The Ninth Circuit concluded under </w:t>
      </w:r>
      <w:r w:rsidRPr="004913BA">
        <w:rPr>
          <w:i/>
        </w:rPr>
        <w:t>Gordon</w:t>
      </w:r>
      <w:r w:rsidRPr="004913BA">
        <w:t xml:space="preserve"> that “[t]</w:t>
      </w:r>
      <w:proofErr w:type="spellStart"/>
      <w:r w:rsidRPr="004913BA">
        <w:t>hough</w:t>
      </w:r>
      <w:proofErr w:type="spellEnd"/>
      <w:r w:rsidRPr="004913BA">
        <w:t xml:space="preserve"> Alexander was, regrettably, attacked a second time, the evidence shows that </w:t>
      </w:r>
      <w:bookmarkStart w:id="3" w:name="_Hlk179274050"/>
      <w:r w:rsidRPr="004913BA">
        <w:t xml:space="preserve">[the defendant doctor’s] </w:t>
      </w:r>
      <w:bookmarkEnd w:id="3"/>
      <w:r w:rsidRPr="004913BA">
        <w:t>responses to both incidents were thorough and careful.”</w:t>
      </w:r>
      <w:r w:rsidRPr="004913BA">
        <w:rPr>
          <w:i/>
        </w:rPr>
        <w:t xml:space="preserve"> Alexander</w:t>
      </w:r>
      <w:r w:rsidRPr="004913BA">
        <w:t>, 78 F.4th at 1145 (“[T]</w:t>
      </w:r>
      <w:proofErr w:type="gramStart"/>
      <w:r w:rsidRPr="004913BA">
        <w:t>he</w:t>
      </w:r>
      <w:proofErr w:type="gramEnd"/>
      <w:r w:rsidRPr="004913BA">
        <w:t xml:space="preserve"> benefit of hindsight from the fact that Alexander was attacked a second time [by the same pretrial detainee] does not show that [the defendant doctor’s] original decision was unreasonable.”).</w:t>
      </w:r>
    </w:p>
    <w:p w14:paraId="465169B9" w14:textId="77777777" w:rsidR="00BC64CE" w:rsidRPr="004913BA" w:rsidRDefault="00BC64CE" w:rsidP="00BC64CE"/>
    <w:p w14:paraId="2D4FC971" w14:textId="3C51AB9C" w:rsidR="00B03D36" w:rsidRPr="0073137A" w:rsidRDefault="00BC64CE" w:rsidP="00BC64CE">
      <w:pPr>
        <w:jc w:val="right"/>
      </w:pPr>
      <w:r w:rsidRPr="00AE413F">
        <w:rPr>
          <w:i/>
          <w:iCs/>
        </w:rPr>
        <w:t>Revised November 2024</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33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610EC8"/>
    <w:rsid w:val="00645E89"/>
    <w:rsid w:val="0073137A"/>
    <w:rsid w:val="0088502D"/>
    <w:rsid w:val="00922469"/>
    <w:rsid w:val="00AD0E12"/>
    <w:rsid w:val="00B03D36"/>
    <w:rsid w:val="00BC64CE"/>
    <w:rsid w:val="00CA6337"/>
    <w:rsid w:val="00DA6AD6"/>
    <w:rsid w:val="00DC5CFB"/>
    <w:rsid w:val="00E62DEA"/>
    <w:rsid w:val="00F2425A"/>
    <w:rsid w:val="00F5420F"/>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9802</Characters>
  <Application>Microsoft Office Word</Application>
  <DocSecurity>0</DocSecurity>
  <Lines>81</Lines>
  <Paragraphs>22</Paragraphs>
  <ScaleCrop>false</ScaleCrop>
  <Company>United States Courts</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2025-01-08T00:37:00Z</dcterms:created>
  <dcterms:modified xsi:type="dcterms:W3CDTF">2025-01-14T23:16:00Z</dcterms:modified>
</cp:coreProperties>
</file>