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0C84" w14:textId="77777777" w:rsidR="000C012F" w:rsidRPr="000C012F" w:rsidRDefault="000C012F" w:rsidP="000C012F">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196481830"/>
      <w:r w:rsidRPr="000C012F">
        <w:rPr>
          <w:rFonts w:ascii="Times New Roman" w:eastAsia="Calibri" w:hAnsi="Times New Roman" w:cs="Times New Roman"/>
          <w:b/>
          <w:bCs/>
          <w:kern w:val="0"/>
          <w14:ligatures w14:val="none"/>
        </w:rPr>
        <w:t>9.32 Particular Rights—Fourteenth Amendment—Due Process—</w:t>
      </w:r>
      <w:r w:rsidRPr="000C012F">
        <w:rPr>
          <w:rFonts w:ascii="Times New Roman" w:eastAsia="Calibri" w:hAnsi="Times New Roman" w:cs="Times New Roman"/>
          <w:b/>
          <w:bCs/>
          <w:kern w:val="0"/>
          <w14:ligatures w14:val="none"/>
        </w:rPr>
        <w:br/>
        <w:t>Interference with Parent/Child Relationship</w:t>
      </w:r>
      <w:bookmarkEnd w:id="0"/>
    </w:p>
    <w:p w14:paraId="2040E36B" w14:textId="77777777" w:rsidR="000C012F" w:rsidRPr="000C012F" w:rsidRDefault="000C012F" w:rsidP="000C012F">
      <w:pPr>
        <w:autoSpaceDE w:val="0"/>
        <w:autoSpaceDN w:val="0"/>
        <w:adjustRightInd w:val="0"/>
        <w:spacing w:after="0" w:line="240" w:lineRule="auto"/>
        <w:jc w:val="center"/>
        <w:rPr>
          <w:rFonts w:ascii="Times New Roman" w:eastAsia="Calibri" w:hAnsi="Times New Roman" w:cs="Times New Roman"/>
          <w:kern w:val="0"/>
          <w14:ligatures w14:val="none"/>
        </w:rPr>
      </w:pPr>
    </w:p>
    <w:p w14:paraId="746153F0" w14:textId="77777777" w:rsidR="000C012F" w:rsidRPr="000C012F" w:rsidRDefault="000C012F" w:rsidP="000C012F">
      <w:pPr>
        <w:autoSpaceDE w:val="0"/>
        <w:autoSpaceDN w:val="0"/>
        <w:adjustRightInd w:val="0"/>
        <w:spacing w:after="0" w:line="240" w:lineRule="auto"/>
        <w:jc w:val="center"/>
        <w:rPr>
          <w:rFonts w:ascii="Times New Roman" w:eastAsia="Calibri" w:hAnsi="Times New Roman" w:cs="Times New Roman"/>
          <w:kern w:val="0"/>
          <w14:ligatures w14:val="none"/>
        </w:rPr>
      </w:pPr>
      <w:r w:rsidRPr="000C012F">
        <w:rPr>
          <w:rFonts w:ascii="Times New Roman" w:eastAsia="Calibri" w:hAnsi="Times New Roman" w:cs="Times New Roman"/>
          <w:b/>
          <w:kern w:val="0"/>
          <w14:ligatures w14:val="none"/>
        </w:rPr>
        <w:t>Comment</w:t>
      </w:r>
    </w:p>
    <w:p w14:paraId="54DE16BF" w14:textId="77777777" w:rsidR="000C012F" w:rsidRPr="000C012F" w:rsidRDefault="000C012F" w:rsidP="000C012F">
      <w:pPr>
        <w:autoSpaceDE w:val="0"/>
        <w:autoSpaceDN w:val="0"/>
        <w:adjustRightInd w:val="0"/>
        <w:spacing w:after="0" w:line="240" w:lineRule="auto"/>
        <w:jc w:val="center"/>
        <w:rPr>
          <w:rFonts w:ascii="Times New Roman" w:eastAsia="Calibri" w:hAnsi="Times New Roman" w:cs="Times New Roman"/>
          <w:kern w:val="0"/>
          <w14:ligatures w14:val="none"/>
        </w:rPr>
      </w:pPr>
    </w:p>
    <w:p w14:paraId="671B8144" w14:textId="77777777" w:rsidR="000C012F" w:rsidRPr="000C012F" w:rsidRDefault="000C012F" w:rsidP="000C012F">
      <w:pPr>
        <w:numPr>
          <w:ilvl w:val="0"/>
          <w:numId w:val="1"/>
        </w:numPr>
        <w:tabs>
          <w:tab w:val="left" w:pos="720"/>
        </w:tabs>
        <w:autoSpaceDE w:val="0"/>
        <w:autoSpaceDN w:val="0"/>
        <w:adjustRightInd w:val="0"/>
        <w:spacing w:after="0" w:line="240" w:lineRule="auto"/>
        <w:contextualSpacing/>
        <w:rPr>
          <w:rFonts w:ascii="Times New Roman" w:eastAsia="Calibri" w:hAnsi="Times New Roman" w:cs="Times New Roman"/>
          <w:b/>
          <w:kern w:val="0"/>
          <w14:ligatures w14:val="none"/>
        </w:rPr>
      </w:pPr>
      <w:r w:rsidRPr="000C012F">
        <w:rPr>
          <w:rFonts w:ascii="Times New Roman" w:eastAsia="Calibri" w:hAnsi="Times New Roman" w:cs="Times New Roman"/>
          <w:b/>
          <w:kern w:val="0"/>
          <w14:ligatures w14:val="none"/>
        </w:rPr>
        <w:t>Introduction</w:t>
      </w:r>
    </w:p>
    <w:p w14:paraId="253AEC6A" w14:textId="77777777" w:rsidR="000C012F" w:rsidRPr="000C012F" w:rsidRDefault="000C012F" w:rsidP="000C012F">
      <w:pPr>
        <w:tabs>
          <w:tab w:val="left" w:pos="720"/>
        </w:tabs>
        <w:autoSpaceDE w:val="0"/>
        <w:autoSpaceDN w:val="0"/>
        <w:adjustRightInd w:val="0"/>
        <w:spacing w:after="0" w:line="240" w:lineRule="auto"/>
        <w:ind w:left="1080"/>
        <w:contextualSpacing/>
        <w:rPr>
          <w:rFonts w:ascii="Times New Roman" w:eastAsia="Calibri" w:hAnsi="Times New Roman" w:cs="Times New Roman"/>
          <w:b/>
          <w:kern w:val="0"/>
          <w14:ligatures w14:val="none"/>
        </w:rPr>
      </w:pPr>
    </w:p>
    <w:p w14:paraId="608C68C3"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b/>
          <w:kern w:val="0"/>
          <w14:ligatures w14:val="none"/>
        </w:rPr>
        <w:tab/>
      </w:r>
      <w:r w:rsidRPr="000C012F">
        <w:rPr>
          <w:rFonts w:ascii="Times New Roman" w:eastAsia="Calibri" w:hAnsi="Times New Roman" w:cs="Times New Roman"/>
          <w:kern w:val="0"/>
          <w14:ligatures w14:val="none"/>
        </w:rPr>
        <w:t>Parents and children possess a constitutionally protected liberty interest in companionship and society with each other</w:t>
      </w:r>
      <w:r w:rsidRPr="000C012F">
        <w:rPr>
          <w:rFonts w:ascii="Times New Roman" w:eastAsia="Calibri" w:hAnsi="Times New Roman" w:cs="Times New Roman"/>
          <w:i/>
          <w:kern w:val="0"/>
          <w14:ligatures w14:val="none"/>
        </w:rPr>
        <w:t>. Smith v. City of Fontana</w:t>
      </w:r>
      <w:r w:rsidRPr="000C012F">
        <w:rPr>
          <w:rFonts w:ascii="Times New Roman" w:eastAsia="Calibri" w:hAnsi="Times New Roman" w:cs="Times New Roman"/>
          <w:kern w:val="0"/>
          <w14:ligatures w14:val="none"/>
        </w:rPr>
        <w:t>, 818 F.2d 1411, 1418 (9th Cir. 1987)</w:t>
      </w:r>
      <w:r w:rsidRPr="000C012F">
        <w:rPr>
          <w:rFonts w:ascii="Times New Roman" w:eastAsia="Calibri" w:hAnsi="Times New Roman" w:cs="Times New Roman"/>
          <w:iCs/>
          <w:kern w:val="0"/>
          <w14:ligatures w14:val="none"/>
        </w:rPr>
        <w:t>,</w:t>
      </w:r>
      <w:r w:rsidRPr="000C012F">
        <w:rPr>
          <w:rFonts w:ascii="Times New Roman" w:eastAsia="Calibri" w:hAnsi="Times New Roman" w:cs="Times New Roman"/>
          <w:i/>
          <w:kern w:val="0"/>
          <w14:ligatures w14:val="none"/>
        </w:rPr>
        <w:t xml:space="preserve"> overruled on other grounds by Hodgers-Durgin v. de la Vina</w:t>
      </w:r>
      <w:r w:rsidRPr="000C012F">
        <w:rPr>
          <w:rFonts w:ascii="Times New Roman" w:eastAsia="Calibri" w:hAnsi="Times New Roman" w:cs="Times New Roman"/>
          <w:kern w:val="0"/>
          <w14:ligatures w14:val="none"/>
        </w:rPr>
        <w:t>, 199 F.3d 1037 (9th Cir. 1999) (</w:t>
      </w:r>
      <w:proofErr w:type="spellStart"/>
      <w:r w:rsidRPr="000C012F">
        <w:rPr>
          <w:rFonts w:ascii="Times New Roman" w:eastAsia="Calibri" w:hAnsi="Times New Roman" w:cs="Times New Roman"/>
          <w:kern w:val="0"/>
          <w14:ligatures w14:val="none"/>
        </w:rPr>
        <w:t>en</w:t>
      </w:r>
      <w:proofErr w:type="spellEnd"/>
      <w:r w:rsidRPr="000C012F">
        <w:rPr>
          <w:rFonts w:ascii="Times New Roman" w:eastAsia="Calibri" w:hAnsi="Times New Roman" w:cs="Times New Roman"/>
          <w:kern w:val="0"/>
          <w14:ligatures w14:val="none"/>
        </w:rPr>
        <w:t xml:space="preserve"> banc). This liberty interest is rooted in the Fourteenth Amendment, which states in relevant part that “[n]o State shall . . . deprive any person of life, liberty, or property, without due process of law.” U.S. Const. amend. XIV, § 1. State interference with these liberty interests may give rise to a Fourteenth Amendment due process claim that is cognizable under 42 U.S.C. § 1983. </w:t>
      </w:r>
      <w:r w:rsidRPr="000C012F">
        <w:rPr>
          <w:rFonts w:ascii="Times New Roman" w:eastAsia="Calibri" w:hAnsi="Times New Roman" w:cs="Times New Roman"/>
          <w:i/>
          <w:kern w:val="0"/>
          <w14:ligatures w14:val="none"/>
        </w:rPr>
        <w:t>Kelson v. City of Springfield</w:t>
      </w:r>
      <w:r w:rsidRPr="000C012F">
        <w:rPr>
          <w:rFonts w:ascii="Times New Roman" w:eastAsia="Calibri" w:hAnsi="Times New Roman" w:cs="Times New Roman"/>
          <w:kern w:val="0"/>
          <w14:ligatures w14:val="none"/>
        </w:rPr>
        <w:t xml:space="preserve">, 767 F.2d 651, 654 (9th Cir. 1985), </w:t>
      </w:r>
      <w:r w:rsidRPr="000C012F">
        <w:rPr>
          <w:rFonts w:ascii="Times New Roman" w:eastAsia="Calibri" w:hAnsi="Times New Roman" w:cs="Times New Roman"/>
          <w:i/>
          <w:kern w:val="0"/>
          <w14:ligatures w14:val="none"/>
        </w:rPr>
        <w:t>overruled on other grounds by Daniels v. Williams</w:t>
      </w:r>
      <w:r w:rsidRPr="000C012F">
        <w:rPr>
          <w:rFonts w:ascii="Times New Roman" w:eastAsia="Calibri" w:hAnsi="Times New Roman" w:cs="Times New Roman"/>
          <w:kern w:val="0"/>
          <w14:ligatures w14:val="none"/>
        </w:rPr>
        <w:t>, 474 U.S. 327 (1986)).</w:t>
      </w:r>
      <w:r w:rsidRPr="000C012F">
        <w:rPr>
          <w:rFonts w:ascii="Times New Roman" w:eastAsia="Calibri" w:hAnsi="Times New Roman" w:cs="Times New Roman"/>
          <w:i/>
          <w:iCs/>
          <w:kern w:val="0"/>
          <w14:ligatures w14:val="none"/>
        </w:rPr>
        <w:t xml:space="preserve"> </w:t>
      </w:r>
      <w:r w:rsidRPr="000C012F">
        <w:rPr>
          <w:rFonts w:ascii="Times New Roman" w:eastAsia="Calibri" w:hAnsi="Times New Roman" w:cs="Times New Roman"/>
          <w:i/>
          <w:kern w:val="0"/>
          <w14:ligatures w14:val="none"/>
        </w:rPr>
        <w:t xml:space="preserve"> </w:t>
      </w:r>
    </w:p>
    <w:p w14:paraId="059BDAE8"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4729B67F" w14:textId="77777777" w:rsidR="000C012F" w:rsidRPr="000C012F" w:rsidRDefault="000C012F" w:rsidP="000C012F">
      <w:pPr>
        <w:autoSpaceDE w:val="0"/>
        <w:autoSpaceDN w:val="0"/>
        <w:adjustRightInd w:val="0"/>
        <w:spacing w:after="0" w:line="240" w:lineRule="auto"/>
        <w:ind w:firstLine="720"/>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 xml:space="preserve">The protected liberty interest is independently held by both parent and child. </w:t>
      </w:r>
      <w:r w:rsidRPr="000C012F">
        <w:rPr>
          <w:rFonts w:ascii="Times New Roman" w:eastAsia="Calibri" w:hAnsi="Times New Roman" w:cs="Times New Roman"/>
          <w:i/>
          <w:kern w:val="0"/>
          <w14:ligatures w14:val="none"/>
        </w:rPr>
        <w:t>City of Fontana</w:t>
      </w:r>
      <w:r w:rsidRPr="000C012F">
        <w:rPr>
          <w:rFonts w:ascii="Times New Roman" w:eastAsia="Calibri" w:hAnsi="Times New Roman" w:cs="Times New Roman"/>
          <w:kern w:val="0"/>
          <w14:ligatures w14:val="none"/>
        </w:rPr>
        <w:t xml:space="preserve">, 818 F.2d at 1418. A parent’s right includes a custodial interest (but only while the child is a minor), and a companionship interest (even after a child reaches the age of majority). </w:t>
      </w:r>
      <w:r w:rsidRPr="000C012F">
        <w:rPr>
          <w:rFonts w:ascii="Times New Roman" w:eastAsia="Calibri" w:hAnsi="Times New Roman" w:cs="Times New Roman"/>
          <w:i/>
          <w:kern w:val="0"/>
          <w14:ligatures w14:val="none"/>
        </w:rPr>
        <w:t xml:space="preserve">Id. </w:t>
      </w:r>
      <w:r w:rsidRPr="000C012F">
        <w:rPr>
          <w:rFonts w:ascii="Times New Roman" w:eastAsia="Calibri" w:hAnsi="Times New Roman" w:cs="Times New Roman"/>
          <w:kern w:val="0"/>
          <w14:ligatures w14:val="none"/>
        </w:rPr>
        <w:t xml:space="preserve">at 1419; </w:t>
      </w:r>
      <w:r w:rsidRPr="000C012F">
        <w:rPr>
          <w:rFonts w:ascii="Times New Roman" w:eastAsia="Calibri" w:hAnsi="Times New Roman" w:cs="Times New Roman"/>
          <w:i/>
          <w:kern w:val="0"/>
          <w14:ligatures w14:val="none"/>
        </w:rPr>
        <w:t>see</w:t>
      </w:r>
      <w:r w:rsidRPr="000C012F">
        <w:rPr>
          <w:rFonts w:ascii="Times New Roman" w:eastAsia="Calibri" w:hAnsi="Times New Roman" w:cs="Times New Roman"/>
          <w:iCs/>
          <w:kern w:val="0"/>
          <w14:ligatures w14:val="none"/>
        </w:rPr>
        <w:t>,</w:t>
      </w:r>
      <w:r w:rsidRPr="000C012F">
        <w:rPr>
          <w:rFonts w:ascii="Times New Roman" w:eastAsia="Calibri" w:hAnsi="Times New Roman" w:cs="Times New Roman"/>
          <w:i/>
          <w:kern w:val="0"/>
          <w14:ligatures w14:val="none"/>
        </w:rPr>
        <w:t xml:space="preserve"> e.g.</w:t>
      </w:r>
      <w:r w:rsidRPr="000C012F">
        <w:rPr>
          <w:rFonts w:ascii="Times New Roman" w:eastAsia="Calibri" w:hAnsi="Times New Roman" w:cs="Times New Roman"/>
          <w:kern w:val="0"/>
          <w14:ligatures w14:val="none"/>
        </w:rPr>
        <w:t>,</w:t>
      </w:r>
      <w:r w:rsidRPr="000C012F">
        <w:rPr>
          <w:rFonts w:ascii="Times New Roman" w:eastAsia="Calibri" w:hAnsi="Times New Roman" w:cs="Times New Roman"/>
          <w:i/>
          <w:kern w:val="0"/>
          <w14:ligatures w14:val="none"/>
        </w:rPr>
        <w:t xml:space="preserve"> Strandberg v. City of Helena</w:t>
      </w:r>
      <w:r w:rsidRPr="000C012F">
        <w:rPr>
          <w:rFonts w:ascii="Times New Roman" w:eastAsia="Calibri" w:hAnsi="Times New Roman" w:cs="Times New Roman"/>
          <w:kern w:val="0"/>
          <w14:ligatures w14:val="none"/>
        </w:rPr>
        <w:t xml:space="preserve">, 791 F.2d 744, 748 n.1 (9th Cir. 1986) (recognizing that parents of deceased 22-year-old son could not allege constitutional right to parent a minor </w:t>
      </w:r>
      <w:proofErr w:type="gramStart"/>
      <w:r w:rsidRPr="000C012F">
        <w:rPr>
          <w:rFonts w:ascii="Times New Roman" w:eastAsia="Calibri" w:hAnsi="Times New Roman" w:cs="Times New Roman"/>
          <w:kern w:val="0"/>
          <w14:ligatures w14:val="none"/>
        </w:rPr>
        <w:t>child, but</w:t>
      </w:r>
      <w:proofErr w:type="gramEnd"/>
      <w:r w:rsidRPr="000C012F">
        <w:rPr>
          <w:rFonts w:ascii="Times New Roman" w:eastAsia="Calibri" w:hAnsi="Times New Roman" w:cs="Times New Roman"/>
          <w:kern w:val="0"/>
          <w14:ligatures w14:val="none"/>
        </w:rPr>
        <w:t xml:space="preserve"> could claim violation of right to companionship and society). Children, including adult children, may claim a violation of their right to familial association, but that right includes only a companionship interest. </w:t>
      </w:r>
      <w:r w:rsidRPr="000C012F">
        <w:rPr>
          <w:rFonts w:ascii="Times New Roman" w:eastAsia="Calibri" w:hAnsi="Times New Roman" w:cs="Times New Roman"/>
          <w:i/>
          <w:kern w:val="0"/>
          <w14:ligatures w14:val="none"/>
        </w:rPr>
        <w:t>City of Fontana</w:t>
      </w:r>
      <w:r w:rsidRPr="000C012F">
        <w:rPr>
          <w:rFonts w:ascii="Times New Roman" w:eastAsia="Calibri" w:hAnsi="Times New Roman" w:cs="Times New Roman"/>
          <w:kern w:val="0"/>
          <w14:ligatures w14:val="none"/>
        </w:rPr>
        <w:t xml:space="preserve">, 818 F.2d at 1419; </w:t>
      </w:r>
      <w:bookmarkStart w:id="1" w:name="Instruction_9.32"/>
      <w:bookmarkEnd w:id="1"/>
      <w:r w:rsidRPr="000C012F">
        <w:rPr>
          <w:rFonts w:ascii="Times New Roman" w:eastAsia="Calibri" w:hAnsi="Times New Roman" w:cs="Times New Roman"/>
          <w:i/>
          <w:kern w:val="0"/>
          <w14:ligatures w14:val="none"/>
        </w:rPr>
        <w:t xml:space="preserve">Moreland v. Las Vegas Metro. Police </w:t>
      </w:r>
      <w:proofErr w:type="spellStart"/>
      <w:r w:rsidRPr="000C012F">
        <w:rPr>
          <w:rFonts w:ascii="Times New Roman" w:eastAsia="Calibri" w:hAnsi="Times New Roman" w:cs="Times New Roman"/>
          <w:i/>
          <w:kern w:val="0"/>
          <w14:ligatures w14:val="none"/>
        </w:rPr>
        <w:t>Dep’t</w:t>
      </w:r>
      <w:proofErr w:type="spellEnd"/>
      <w:r w:rsidRPr="000C012F">
        <w:rPr>
          <w:rFonts w:ascii="Times New Roman" w:eastAsia="Calibri" w:hAnsi="Times New Roman" w:cs="Times New Roman"/>
          <w:kern w:val="0"/>
          <w14:ligatures w14:val="none"/>
        </w:rPr>
        <w:t xml:space="preserve">, 159 F.3d 365, 371 (9th Cir. 1998). Parents and children raising such claims are alleging a deprivation of their own liberty rights; they are not asserting the rights of the decedent or injured child or parent. </w:t>
      </w:r>
      <w:r w:rsidRPr="000C012F">
        <w:rPr>
          <w:rFonts w:ascii="Times New Roman" w:eastAsia="Calibri" w:hAnsi="Times New Roman" w:cs="Times New Roman"/>
          <w:i/>
          <w:kern w:val="0"/>
          <w14:ligatures w14:val="none"/>
        </w:rPr>
        <w:t>Kelson</w:t>
      </w:r>
      <w:r w:rsidRPr="000C012F">
        <w:rPr>
          <w:rFonts w:ascii="Times New Roman" w:eastAsia="Calibri" w:hAnsi="Times New Roman" w:cs="Times New Roman"/>
          <w:kern w:val="0"/>
          <w14:ligatures w14:val="none"/>
        </w:rPr>
        <w:t>, 767 F.2d at</w:t>
      </w:r>
      <w:r w:rsidRPr="000C012F">
        <w:rPr>
          <w:rFonts w:ascii="Times New Roman" w:eastAsia="Calibri" w:hAnsi="Times New Roman" w:cs="Times New Roman"/>
          <w:i/>
          <w:kern w:val="0"/>
          <w14:ligatures w14:val="none"/>
        </w:rPr>
        <w:t xml:space="preserve"> </w:t>
      </w:r>
      <w:r w:rsidRPr="000C012F">
        <w:rPr>
          <w:rFonts w:ascii="Times New Roman" w:eastAsia="Calibri" w:hAnsi="Times New Roman" w:cs="Times New Roman"/>
          <w:kern w:val="0"/>
          <w14:ligatures w14:val="none"/>
        </w:rPr>
        <w:t>653 n.2.</w:t>
      </w:r>
    </w:p>
    <w:p w14:paraId="264AF32A"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245F619C" w14:textId="77777777" w:rsidR="000C012F" w:rsidRPr="000C012F" w:rsidRDefault="000C012F" w:rsidP="000C012F">
      <w:pPr>
        <w:keepLines/>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The mere existence of a biological link between parent and child is not a sufficient basis to support a Fourteenth Amendment claim for loss of familial relationship rights.</w:t>
      </w:r>
      <w:r w:rsidRPr="000C012F">
        <w:rPr>
          <w:rFonts w:ascii="Times New Roman" w:eastAsia="Calibri" w:hAnsi="Times New Roman" w:cs="Times New Roman"/>
          <w:i/>
          <w:kern w:val="0"/>
          <w14:ligatures w14:val="none"/>
        </w:rPr>
        <w:t xml:space="preserve"> Wheeler v. City of Santa Clara</w:t>
      </w:r>
      <w:r w:rsidRPr="000C012F">
        <w:rPr>
          <w:rFonts w:ascii="Times New Roman" w:eastAsia="Calibri" w:hAnsi="Times New Roman" w:cs="Times New Roman"/>
          <w:kern w:val="0"/>
          <w14:ligatures w14:val="none"/>
        </w:rPr>
        <w:t xml:space="preserve">, 894 F.3d 1046, 1058 (9th Cir. 2018). To bring a Fourteenth Amendment due process claim, the parent and child must have relationships “which reflect some assumption ‘of parental responsibility.’” </w:t>
      </w:r>
      <w:r w:rsidRPr="000C012F">
        <w:rPr>
          <w:rFonts w:ascii="Times New Roman" w:eastAsia="Calibri" w:hAnsi="Times New Roman" w:cs="Times New Roman"/>
          <w:i/>
          <w:kern w:val="0"/>
          <w14:ligatures w14:val="none"/>
        </w:rPr>
        <w:t>Kirkpatrick v. County of Washoe</w:t>
      </w:r>
      <w:r w:rsidRPr="000C012F">
        <w:rPr>
          <w:rFonts w:ascii="Times New Roman" w:eastAsia="Calibri" w:hAnsi="Times New Roman" w:cs="Times New Roman"/>
          <w:kern w:val="0"/>
          <w14:ligatures w14:val="none"/>
        </w:rPr>
        <w:t>, 843 F.3d 784, 789 (9th Cir. 2016) (</w:t>
      </w:r>
      <w:proofErr w:type="spellStart"/>
      <w:r w:rsidRPr="000C012F">
        <w:rPr>
          <w:rFonts w:ascii="Times New Roman" w:eastAsia="Calibri" w:hAnsi="Times New Roman" w:cs="Times New Roman"/>
          <w:kern w:val="0"/>
          <w14:ligatures w14:val="none"/>
        </w:rPr>
        <w:t>en</w:t>
      </w:r>
      <w:proofErr w:type="spellEnd"/>
      <w:r w:rsidRPr="000C012F">
        <w:rPr>
          <w:rFonts w:ascii="Times New Roman" w:eastAsia="Calibri" w:hAnsi="Times New Roman" w:cs="Times New Roman"/>
          <w:kern w:val="0"/>
          <w14:ligatures w14:val="none"/>
        </w:rPr>
        <w:t xml:space="preserve"> banc) (“It is when an unwed father demonstrates a full commitment to the responsibilities of parenthood by coming forward to participate in the rearing of his child that his interest in personal contact with his child acquires substantial protection under the due process clause.”) (internal quotation marks and brackets omitted). Parents can bring a Fourteenth Amendment due process claim only if they demonstrate “consistent involvement in a child’s life and participation in child-rearing activities.” </w:t>
      </w:r>
      <w:r w:rsidRPr="000C012F">
        <w:rPr>
          <w:rFonts w:ascii="Times New Roman" w:eastAsia="Calibri" w:hAnsi="Times New Roman" w:cs="Times New Roman"/>
          <w:i/>
          <w:kern w:val="0"/>
          <w14:ligatures w14:val="none"/>
        </w:rPr>
        <w:t>Wheeler</w:t>
      </w:r>
      <w:r w:rsidRPr="000C012F">
        <w:rPr>
          <w:rFonts w:ascii="Times New Roman" w:eastAsia="Calibri" w:hAnsi="Times New Roman" w:cs="Times New Roman"/>
          <w:kern w:val="0"/>
          <w14:ligatures w14:val="none"/>
        </w:rPr>
        <w:t>, 894 F.3d at 1058.</w:t>
      </w:r>
      <w:r w:rsidRPr="000C012F">
        <w:rPr>
          <w:rFonts w:ascii="Times New Roman" w:eastAsia="Calibri" w:hAnsi="Times New Roman" w:cs="Times New Roman"/>
          <w:i/>
          <w:kern w:val="0"/>
          <w14:ligatures w14:val="none"/>
        </w:rPr>
        <w:t xml:space="preserve"> </w:t>
      </w:r>
      <w:r w:rsidRPr="000C012F">
        <w:rPr>
          <w:rFonts w:ascii="Times New Roman" w:eastAsia="Calibri" w:hAnsi="Times New Roman" w:cs="Times New Roman"/>
          <w:kern w:val="0"/>
          <w14:ligatures w14:val="none"/>
        </w:rPr>
        <w:t xml:space="preserve">Children must make the same showing. </w:t>
      </w:r>
      <w:r w:rsidRPr="000C012F">
        <w:rPr>
          <w:rFonts w:ascii="Times New Roman" w:eastAsia="Calibri" w:hAnsi="Times New Roman" w:cs="Times New Roman"/>
          <w:i/>
          <w:kern w:val="0"/>
          <w14:ligatures w14:val="none"/>
        </w:rPr>
        <w:t xml:space="preserve">See id. </w:t>
      </w:r>
      <w:r w:rsidRPr="000C012F">
        <w:rPr>
          <w:rFonts w:ascii="Times New Roman" w:eastAsia="Calibri" w:hAnsi="Times New Roman" w:cs="Times New Roman"/>
          <w:kern w:val="0"/>
          <w14:ligatures w14:val="none"/>
        </w:rPr>
        <w:t xml:space="preserve">(holding relationship between child adopted as infant and biological mother insufficient for child to bring Fourteenth Amendment loss of companionship claim). </w:t>
      </w:r>
    </w:p>
    <w:p w14:paraId="7A305EDB" w14:textId="77777777" w:rsidR="000C012F" w:rsidRPr="000C012F" w:rsidRDefault="000C012F" w:rsidP="000C012F">
      <w:pPr>
        <w:keepLines/>
        <w:autoSpaceDE w:val="0"/>
        <w:autoSpaceDN w:val="0"/>
        <w:adjustRightInd w:val="0"/>
        <w:spacing w:after="0" w:line="240" w:lineRule="auto"/>
        <w:rPr>
          <w:rFonts w:ascii="Times New Roman" w:eastAsia="Calibri" w:hAnsi="Times New Roman" w:cs="Times New Roman"/>
          <w:kern w:val="0"/>
          <w14:ligatures w14:val="none"/>
        </w:rPr>
      </w:pPr>
    </w:p>
    <w:p w14:paraId="2CB3F8D0"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Other familial relationships may not give rise to a protectable liberty interest. The extent to which grandparents have such an interest has not been decided, although a noncustodial grandparent generally does not have a protectable interest. </w:t>
      </w:r>
      <w:r w:rsidRPr="000C012F">
        <w:rPr>
          <w:rFonts w:ascii="Times New Roman" w:eastAsia="Calibri" w:hAnsi="Times New Roman" w:cs="Times New Roman"/>
          <w:i/>
          <w:kern w:val="0"/>
          <w14:ligatures w14:val="none"/>
        </w:rPr>
        <w:t>See</w:t>
      </w:r>
      <w:r w:rsidRPr="000C012F">
        <w:rPr>
          <w:rFonts w:ascii="Times New Roman" w:eastAsia="Calibri" w:hAnsi="Times New Roman" w:cs="Times New Roman"/>
          <w:kern w:val="0"/>
          <w14:ligatures w14:val="none"/>
        </w:rPr>
        <w:t xml:space="preserve"> </w:t>
      </w:r>
      <w:r w:rsidRPr="000C012F">
        <w:rPr>
          <w:rFonts w:ascii="Times New Roman" w:eastAsia="Calibri" w:hAnsi="Times New Roman" w:cs="Times New Roman"/>
          <w:i/>
          <w:kern w:val="0"/>
          <w14:ligatures w14:val="none"/>
        </w:rPr>
        <w:t>Miller v. California</w:t>
      </w:r>
      <w:r w:rsidRPr="000C012F">
        <w:rPr>
          <w:rFonts w:ascii="Times New Roman" w:eastAsia="Calibri" w:hAnsi="Times New Roman" w:cs="Times New Roman"/>
          <w:kern w:val="0"/>
          <w14:ligatures w14:val="none"/>
        </w:rPr>
        <w:t xml:space="preserve">, 355 F.3d </w:t>
      </w:r>
      <w:r w:rsidRPr="000C012F">
        <w:rPr>
          <w:rFonts w:ascii="Times New Roman" w:eastAsia="Calibri" w:hAnsi="Times New Roman" w:cs="Times New Roman"/>
          <w:kern w:val="0"/>
          <w14:ligatures w14:val="none"/>
        </w:rPr>
        <w:lastRenderedPageBreak/>
        <w:t xml:space="preserve">1172, 1176 (9th Cir. 2004) (holding that grandparents had neither a “substantive due process right to family integrity or association as noncustodial grandparents of children who are dependents of the court, nor of a liberty interest in visiting their grandchildren”). Siblings cannot bring claims under the Fourteenth Amendment for the deprivation of their liberty interest arising out of their relationship with their sibling. </w:t>
      </w:r>
      <w:r w:rsidRPr="000C012F">
        <w:rPr>
          <w:rFonts w:ascii="Times New Roman" w:eastAsia="Calibri" w:hAnsi="Times New Roman" w:cs="Times New Roman"/>
          <w:i/>
          <w:kern w:val="0"/>
          <w14:ligatures w14:val="none"/>
        </w:rPr>
        <w:t>Ward v. City of San Jose</w:t>
      </w:r>
      <w:r w:rsidRPr="000C012F">
        <w:rPr>
          <w:rFonts w:ascii="Times New Roman" w:eastAsia="Calibri" w:hAnsi="Times New Roman" w:cs="Times New Roman"/>
          <w:kern w:val="0"/>
          <w14:ligatures w14:val="none"/>
        </w:rPr>
        <w:t xml:space="preserve">, 967 F.2d 280, 284 (9th Cir. 1991), </w:t>
      </w:r>
      <w:r w:rsidRPr="000C012F">
        <w:rPr>
          <w:rFonts w:ascii="Times New Roman" w:eastAsia="Calibri" w:hAnsi="Times New Roman" w:cs="Times New Roman"/>
          <w:i/>
          <w:kern w:val="0"/>
          <w14:ligatures w14:val="none"/>
        </w:rPr>
        <w:t xml:space="preserve">as amended on denial of reh’g </w:t>
      </w:r>
      <w:r w:rsidRPr="000C012F">
        <w:rPr>
          <w:rFonts w:ascii="Times New Roman" w:eastAsia="Calibri" w:hAnsi="Times New Roman" w:cs="Times New Roman"/>
          <w:kern w:val="0"/>
          <w14:ligatures w14:val="none"/>
        </w:rPr>
        <w:t>(June 16, 1992).</w:t>
      </w:r>
    </w:p>
    <w:p w14:paraId="0F5D03C8"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7E66B651" w14:textId="77777777" w:rsidR="000C012F" w:rsidRPr="000C012F" w:rsidRDefault="000C012F" w:rsidP="000C012F">
      <w:pPr>
        <w:autoSpaceDE w:val="0"/>
        <w:autoSpaceDN w:val="0"/>
        <w:adjustRightInd w:val="0"/>
        <w:spacing w:after="0" w:line="240" w:lineRule="auto"/>
        <w:ind w:firstLine="720"/>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 xml:space="preserve">In </w:t>
      </w:r>
      <w:r w:rsidRPr="000C012F">
        <w:rPr>
          <w:rFonts w:ascii="Times New Roman" w:eastAsia="Calibri" w:hAnsi="Times New Roman" w:cs="Times New Roman"/>
          <w:i/>
          <w:kern w:val="0"/>
          <w14:ligatures w14:val="none"/>
        </w:rPr>
        <w:t>Peck v. Montoya</w:t>
      </w:r>
      <w:r w:rsidRPr="000C012F">
        <w:rPr>
          <w:rFonts w:ascii="Times New Roman" w:eastAsia="Calibri" w:hAnsi="Times New Roman" w:cs="Times New Roman"/>
          <w:kern w:val="0"/>
          <w14:ligatures w14:val="none"/>
        </w:rPr>
        <w:t>, 51 F.4th 877, 893 (9th Cir. 2022), the Ninth Circuit noted that it had not previously held whether a substantive due process right exists in the context of a familial association claim asserted by a spouse, rather than a parent or child and that other courts of appeal have reached conflicting conclusions. The Ninth Circuit did not reach this issue in this case.</w:t>
      </w:r>
    </w:p>
    <w:p w14:paraId="456D3723"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09E92158" w14:textId="77777777" w:rsidR="000C012F" w:rsidRPr="000C012F" w:rsidRDefault="000C012F" w:rsidP="000C012F">
      <w:pPr>
        <w:keepNext/>
        <w:keepLines/>
        <w:numPr>
          <w:ilvl w:val="0"/>
          <w:numId w:val="1"/>
        </w:numPr>
        <w:tabs>
          <w:tab w:val="left" w:pos="720"/>
        </w:tabs>
        <w:autoSpaceDE w:val="0"/>
        <w:autoSpaceDN w:val="0"/>
        <w:adjustRightInd w:val="0"/>
        <w:spacing w:after="0" w:line="240" w:lineRule="auto"/>
        <w:contextualSpacing/>
        <w:rPr>
          <w:rFonts w:ascii="Times New Roman" w:eastAsia="Calibri" w:hAnsi="Times New Roman" w:cs="Times New Roman"/>
          <w:b/>
          <w:kern w:val="0"/>
          <w14:ligatures w14:val="none"/>
        </w:rPr>
      </w:pPr>
      <w:r w:rsidRPr="000C012F">
        <w:rPr>
          <w:rFonts w:ascii="Times New Roman" w:eastAsia="Calibri" w:hAnsi="Times New Roman" w:cs="Times New Roman"/>
          <w:b/>
          <w:kern w:val="0"/>
          <w14:ligatures w14:val="none"/>
        </w:rPr>
        <w:t>Two Types of Claims: Procedural and Substantive</w:t>
      </w:r>
    </w:p>
    <w:p w14:paraId="4FB0E876" w14:textId="77777777" w:rsidR="000C012F" w:rsidRPr="000C012F" w:rsidRDefault="000C012F" w:rsidP="000C012F">
      <w:pPr>
        <w:keepNext/>
        <w:keepLines/>
        <w:tabs>
          <w:tab w:val="left" w:pos="720"/>
        </w:tabs>
        <w:autoSpaceDE w:val="0"/>
        <w:autoSpaceDN w:val="0"/>
        <w:adjustRightInd w:val="0"/>
        <w:spacing w:after="0" w:line="240" w:lineRule="auto"/>
        <w:ind w:left="1080"/>
        <w:contextualSpacing/>
        <w:rPr>
          <w:rFonts w:ascii="Times New Roman" w:eastAsia="Calibri" w:hAnsi="Times New Roman" w:cs="Times New Roman"/>
          <w:kern w:val="0"/>
          <w14:ligatures w14:val="none"/>
        </w:rPr>
      </w:pPr>
    </w:p>
    <w:p w14:paraId="50D2D93F"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A claim of interference with the parent/child relationship in violation of the Fourteenth Amendment may be brought as either a procedural due process </w:t>
      </w:r>
      <w:proofErr w:type="gramStart"/>
      <w:r w:rsidRPr="000C012F">
        <w:rPr>
          <w:rFonts w:ascii="Times New Roman" w:eastAsia="Calibri" w:hAnsi="Times New Roman" w:cs="Times New Roman"/>
          <w:kern w:val="0"/>
          <w14:ligatures w14:val="none"/>
        </w:rPr>
        <w:t>claim</w:t>
      </w:r>
      <w:proofErr w:type="gramEnd"/>
      <w:r w:rsidRPr="000C012F">
        <w:rPr>
          <w:rFonts w:ascii="Times New Roman" w:eastAsia="Calibri" w:hAnsi="Times New Roman" w:cs="Times New Roman"/>
          <w:kern w:val="0"/>
          <w14:ligatures w14:val="none"/>
        </w:rPr>
        <w:t xml:space="preserve"> or a substantive due process claim. </w:t>
      </w:r>
      <w:r w:rsidRPr="000C012F">
        <w:rPr>
          <w:rFonts w:ascii="Times New Roman" w:eastAsia="Calibri" w:hAnsi="Times New Roman" w:cs="Times New Roman"/>
          <w:i/>
          <w:kern w:val="0"/>
          <w14:ligatures w14:val="none"/>
        </w:rPr>
        <w:t>See City of Fontana</w:t>
      </w:r>
      <w:r w:rsidRPr="000C012F">
        <w:rPr>
          <w:rFonts w:ascii="Times New Roman" w:eastAsia="Calibri" w:hAnsi="Times New Roman" w:cs="Times New Roman"/>
          <w:kern w:val="0"/>
          <w14:ligatures w14:val="none"/>
        </w:rPr>
        <w:t>, 818 F.2d at 1419-20 (“whether a particular interference with a liberty interest constitutes a substantive or a procedural due process violation depends on whether the interference was ‘for purposes of oppression,’ rather than for the purpose of furthering legitimate state interests” (citation omitted)).</w:t>
      </w:r>
    </w:p>
    <w:p w14:paraId="43E532AF"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4AD63386"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A procedural due process claim may arise when the state interferes with the parent-child relationship for the purpose of furthering a legitimate state interest. </w:t>
      </w:r>
      <w:r w:rsidRPr="000C012F">
        <w:rPr>
          <w:rFonts w:ascii="Times New Roman" w:eastAsia="Calibri" w:hAnsi="Times New Roman" w:cs="Times New Roman"/>
          <w:i/>
          <w:kern w:val="0"/>
          <w14:ligatures w14:val="none"/>
        </w:rPr>
        <w:t xml:space="preserve">See id. </w:t>
      </w:r>
      <w:r w:rsidRPr="000C012F">
        <w:rPr>
          <w:rFonts w:ascii="Times New Roman" w:eastAsia="Calibri" w:hAnsi="Times New Roman" w:cs="Times New Roman"/>
          <w:kern w:val="0"/>
          <w14:ligatures w14:val="none"/>
        </w:rPr>
        <w:t xml:space="preserve">at 1419. Thus, “where the best </w:t>
      </w:r>
      <w:proofErr w:type="gramStart"/>
      <w:r w:rsidRPr="000C012F">
        <w:rPr>
          <w:rFonts w:ascii="Times New Roman" w:eastAsia="Calibri" w:hAnsi="Times New Roman" w:cs="Times New Roman"/>
          <w:kern w:val="0"/>
          <w14:ligatures w14:val="none"/>
        </w:rPr>
        <w:t>interests</w:t>
      </w:r>
      <w:proofErr w:type="gramEnd"/>
      <w:r w:rsidRPr="000C012F">
        <w:rPr>
          <w:rFonts w:ascii="Times New Roman" w:eastAsia="Calibri" w:hAnsi="Times New Roman" w:cs="Times New Roman"/>
          <w:kern w:val="0"/>
          <w14:ligatures w14:val="none"/>
        </w:rPr>
        <w:t xml:space="preserve"> of the child arguably warrants termination of the parent’s custodial rights, the state may legitimately interfere so long as it provides ‘fundamentally fair procedures.’” </w:t>
      </w:r>
      <w:r w:rsidRPr="000C012F">
        <w:rPr>
          <w:rFonts w:ascii="Times New Roman" w:eastAsia="Calibri" w:hAnsi="Times New Roman" w:cs="Times New Roman"/>
          <w:i/>
          <w:kern w:val="0"/>
          <w14:ligatures w14:val="none"/>
        </w:rPr>
        <w:t xml:space="preserve">Id. </w:t>
      </w:r>
      <w:r w:rsidRPr="000C012F">
        <w:rPr>
          <w:rFonts w:ascii="Times New Roman" w:eastAsia="Calibri" w:hAnsi="Times New Roman" w:cs="Times New Roman"/>
          <w:kern w:val="0"/>
          <w14:ligatures w14:val="none"/>
        </w:rPr>
        <w:t xml:space="preserve">(quoting </w:t>
      </w:r>
      <w:proofErr w:type="spellStart"/>
      <w:r w:rsidRPr="000C012F">
        <w:rPr>
          <w:rFonts w:ascii="Times New Roman" w:eastAsia="Calibri" w:hAnsi="Times New Roman" w:cs="Times New Roman"/>
          <w:i/>
          <w:kern w:val="0"/>
          <w14:ligatures w14:val="none"/>
        </w:rPr>
        <w:t>Santosky</w:t>
      </w:r>
      <w:proofErr w:type="spellEnd"/>
      <w:r w:rsidRPr="000C012F">
        <w:rPr>
          <w:rFonts w:ascii="Times New Roman" w:eastAsia="Calibri" w:hAnsi="Times New Roman" w:cs="Times New Roman"/>
          <w:i/>
          <w:kern w:val="0"/>
          <w14:ligatures w14:val="none"/>
        </w:rPr>
        <w:t xml:space="preserve"> v. Kramer</w:t>
      </w:r>
      <w:r w:rsidRPr="000C012F">
        <w:rPr>
          <w:rFonts w:ascii="Times New Roman" w:eastAsia="Calibri" w:hAnsi="Times New Roman" w:cs="Times New Roman"/>
          <w:kern w:val="0"/>
          <w14:ligatures w14:val="none"/>
        </w:rPr>
        <w:t xml:space="preserve">, 455 U.S. 745, 754 (1982)).  </w:t>
      </w:r>
    </w:p>
    <w:p w14:paraId="16836E41"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4B296D88"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A substantive due process claim may arise when the state interferes with the parent-child relationship “for purposes of oppression.” </w:t>
      </w:r>
      <w:r w:rsidRPr="000C012F">
        <w:rPr>
          <w:rFonts w:ascii="Times New Roman" w:eastAsia="Calibri" w:hAnsi="Times New Roman" w:cs="Times New Roman"/>
          <w:i/>
          <w:kern w:val="0"/>
          <w14:ligatures w14:val="none"/>
        </w:rPr>
        <w:t>Id.</w:t>
      </w:r>
      <w:r w:rsidRPr="000C012F">
        <w:rPr>
          <w:rFonts w:ascii="Times New Roman" w:eastAsia="Calibri" w:hAnsi="Times New Roman" w:cs="Times New Roman"/>
          <w:kern w:val="0"/>
          <w14:ligatures w14:val="none"/>
        </w:rPr>
        <w:t xml:space="preserve"> (quoting </w:t>
      </w:r>
      <w:r w:rsidRPr="000C012F">
        <w:rPr>
          <w:rFonts w:ascii="Times New Roman" w:eastAsia="Calibri" w:hAnsi="Times New Roman" w:cs="Times New Roman"/>
          <w:i/>
          <w:kern w:val="0"/>
          <w14:ligatures w14:val="none"/>
        </w:rPr>
        <w:t>Daniels v. Williams</w:t>
      </w:r>
      <w:r w:rsidRPr="000C012F">
        <w:rPr>
          <w:rFonts w:ascii="Times New Roman" w:eastAsia="Calibri" w:hAnsi="Times New Roman" w:cs="Times New Roman"/>
          <w:kern w:val="0"/>
          <w14:ligatures w14:val="none"/>
        </w:rPr>
        <w:t xml:space="preserve">, 474 U.S. 327, 331 (1986)). For instance, “the state has no legitimate interest in interfering with this liberty interest through the use of </w:t>
      </w:r>
      <w:r w:rsidRPr="000C012F">
        <w:rPr>
          <w:rFonts w:ascii="Times New Roman" w:eastAsia="Calibri" w:hAnsi="Times New Roman" w:cs="Times New Roman"/>
          <w:i/>
          <w:kern w:val="0"/>
          <w14:ligatures w14:val="none"/>
        </w:rPr>
        <w:t>excessive</w:t>
      </w:r>
      <w:r w:rsidRPr="000C012F">
        <w:rPr>
          <w:rFonts w:ascii="Times New Roman" w:eastAsia="Calibri" w:hAnsi="Times New Roman" w:cs="Times New Roman"/>
          <w:kern w:val="0"/>
          <w14:ligatures w14:val="none"/>
        </w:rPr>
        <w:t xml:space="preserve"> force by police officers.” </w:t>
      </w:r>
      <w:r w:rsidRPr="000C012F">
        <w:rPr>
          <w:rFonts w:ascii="Times New Roman" w:eastAsia="Calibri" w:hAnsi="Times New Roman" w:cs="Times New Roman"/>
          <w:i/>
          <w:kern w:val="0"/>
          <w14:ligatures w14:val="none"/>
        </w:rPr>
        <w:t xml:space="preserve">Id. </w:t>
      </w:r>
      <w:r w:rsidRPr="000C012F">
        <w:rPr>
          <w:rFonts w:ascii="Times New Roman" w:eastAsia="Calibri" w:hAnsi="Times New Roman" w:cs="Times New Roman"/>
          <w:kern w:val="0"/>
          <w14:ligatures w14:val="none"/>
        </w:rPr>
        <w:t>at 1419-20. Each type of claim is evaluated under a distinct standard.</w:t>
      </w:r>
    </w:p>
    <w:p w14:paraId="0F5BE3E9"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53430B87" w14:textId="77777777" w:rsidR="000C012F" w:rsidRPr="000C012F" w:rsidRDefault="000C012F" w:rsidP="000C012F">
      <w:pPr>
        <w:keepNext/>
        <w:keepLines/>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b/>
          <w:kern w:val="0"/>
          <w14:ligatures w14:val="none"/>
        </w:rPr>
      </w:pPr>
      <w:r w:rsidRPr="000C012F">
        <w:rPr>
          <w:rFonts w:ascii="Times New Roman" w:eastAsia="Calibri" w:hAnsi="Times New Roman" w:cs="Times New Roman"/>
          <w:b/>
          <w:kern w:val="0"/>
          <w14:ligatures w14:val="none"/>
        </w:rPr>
        <w:tab/>
        <w:t>A.</w:t>
      </w:r>
      <w:r w:rsidRPr="000C012F">
        <w:rPr>
          <w:rFonts w:ascii="Times New Roman" w:eastAsia="Calibri" w:hAnsi="Times New Roman" w:cs="Times New Roman"/>
          <w:b/>
          <w:kern w:val="0"/>
          <w14:ligatures w14:val="none"/>
        </w:rPr>
        <w:tab/>
        <w:t>Standard for Procedural Due Process Violation</w:t>
      </w:r>
    </w:p>
    <w:p w14:paraId="4E1E287D" w14:textId="77777777" w:rsidR="000C012F" w:rsidRPr="000C012F" w:rsidRDefault="000C012F" w:rsidP="000C012F">
      <w:pPr>
        <w:keepNext/>
        <w:autoSpaceDE w:val="0"/>
        <w:autoSpaceDN w:val="0"/>
        <w:adjustRightInd w:val="0"/>
        <w:spacing w:after="0" w:line="240" w:lineRule="auto"/>
        <w:rPr>
          <w:rFonts w:ascii="Times New Roman" w:eastAsia="Calibri" w:hAnsi="Times New Roman" w:cs="Times New Roman"/>
          <w:b/>
          <w:kern w:val="0"/>
          <w14:ligatures w14:val="none"/>
        </w:rPr>
      </w:pPr>
    </w:p>
    <w:p w14:paraId="76041335"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b/>
          <w:kern w:val="0"/>
          <w14:ligatures w14:val="none"/>
        </w:rPr>
        <w:tab/>
      </w:r>
      <w:r w:rsidRPr="000C012F">
        <w:rPr>
          <w:rFonts w:ascii="Times New Roman" w:eastAsia="Calibri" w:hAnsi="Times New Roman" w:cs="Times New Roman"/>
          <w:kern w:val="0"/>
          <w14:ligatures w14:val="none"/>
        </w:rPr>
        <w:t xml:space="preserve">Procedural due process claims typically arise when a state official removes a child from a parent’s care. For such claims, “[t]he Fourteenth Amendment guarantees that parents will not be separated from their children without due process of law except in emergencies.” </w:t>
      </w:r>
      <w:r w:rsidRPr="000C012F">
        <w:rPr>
          <w:rFonts w:ascii="Times New Roman" w:eastAsia="Calibri" w:hAnsi="Times New Roman" w:cs="Times New Roman"/>
          <w:i/>
          <w:kern w:val="0"/>
          <w14:ligatures w14:val="none"/>
        </w:rPr>
        <w:t>Rogers v. County of San Joaquin</w:t>
      </w:r>
      <w:r w:rsidRPr="000C012F">
        <w:rPr>
          <w:rFonts w:ascii="Times New Roman" w:eastAsia="Calibri" w:hAnsi="Times New Roman" w:cs="Times New Roman"/>
          <w:kern w:val="0"/>
          <w14:ligatures w14:val="none"/>
        </w:rPr>
        <w:t xml:space="preserve">, 487 F.3d 1288, 1294 (9th Cir. 2007) (quoting </w:t>
      </w:r>
      <w:r w:rsidRPr="000C012F">
        <w:rPr>
          <w:rFonts w:ascii="Times New Roman" w:eastAsia="Calibri" w:hAnsi="Times New Roman" w:cs="Times New Roman"/>
          <w:i/>
          <w:kern w:val="0"/>
          <w14:ligatures w14:val="none"/>
        </w:rPr>
        <w:t xml:space="preserve">Mabe v. San Bernardino </w:t>
      </w:r>
      <w:proofErr w:type="spellStart"/>
      <w:r w:rsidRPr="000C012F">
        <w:rPr>
          <w:rFonts w:ascii="Times New Roman" w:eastAsia="Calibri" w:hAnsi="Times New Roman" w:cs="Times New Roman"/>
          <w:i/>
          <w:kern w:val="0"/>
          <w14:ligatures w14:val="none"/>
        </w:rPr>
        <w:t>Cnty</w:t>
      </w:r>
      <w:proofErr w:type="spellEnd"/>
      <w:r w:rsidRPr="000C012F">
        <w:rPr>
          <w:rFonts w:ascii="Times New Roman" w:eastAsia="Calibri" w:hAnsi="Times New Roman" w:cs="Times New Roman"/>
          <w:i/>
          <w:kern w:val="0"/>
          <w14:ligatures w14:val="none"/>
        </w:rPr>
        <w:t xml:space="preserve">., </w:t>
      </w:r>
      <w:proofErr w:type="spellStart"/>
      <w:r w:rsidRPr="000C012F">
        <w:rPr>
          <w:rFonts w:ascii="Times New Roman" w:eastAsia="Calibri" w:hAnsi="Times New Roman" w:cs="Times New Roman"/>
          <w:i/>
          <w:kern w:val="0"/>
          <w14:ligatures w14:val="none"/>
        </w:rPr>
        <w:t>Dep’t</w:t>
      </w:r>
      <w:proofErr w:type="spellEnd"/>
      <w:r w:rsidRPr="000C012F">
        <w:rPr>
          <w:rFonts w:ascii="Times New Roman" w:eastAsia="Calibri" w:hAnsi="Times New Roman" w:cs="Times New Roman"/>
          <w:i/>
          <w:kern w:val="0"/>
          <w14:ligatures w14:val="none"/>
        </w:rPr>
        <w:t xml:space="preserve"> of Pub. Soc. Servs.</w:t>
      </w:r>
      <w:r w:rsidRPr="000C012F">
        <w:rPr>
          <w:rFonts w:ascii="Times New Roman" w:eastAsia="Calibri" w:hAnsi="Times New Roman" w:cs="Times New Roman"/>
          <w:kern w:val="0"/>
          <w14:ligatures w14:val="none"/>
        </w:rPr>
        <w:t>, 237 F.3d 1101, 1107 (9th Cir. 2001)). Removing a child from a parent’s custody violates the Fourteenth Amendment unless the removal (1) is authorized by a court order (typically a warrant); or (2) is supported by “reasonable cause to believe that the child is in imminent danger of serious bodily injury,” and the scope of intrusion does not extend beyond that which is reasonably necessary.</w:t>
      </w:r>
      <w:r w:rsidRPr="000C012F">
        <w:rPr>
          <w:rFonts w:ascii="Times New Roman" w:eastAsia="Calibri" w:hAnsi="Times New Roman" w:cs="Times New Roman"/>
          <w:i/>
          <w:kern w:val="0"/>
          <w14:ligatures w14:val="none"/>
        </w:rPr>
        <w:t xml:space="preserve"> Id. </w:t>
      </w:r>
      <w:r w:rsidRPr="000C012F">
        <w:rPr>
          <w:rFonts w:ascii="Times New Roman" w:eastAsia="Calibri" w:hAnsi="Times New Roman" w:cs="Times New Roman"/>
          <w:kern w:val="0"/>
          <w14:ligatures w14:val="none"/>
        </w:rPr>
        <w:t xml:space="preserve">(quoting </w:t>
      </w:r>
      <w:r w:rsidRPr="000C012F">
        <w:rPr>
          <w:rFonts w:ascii="Times New Roman" w:eastAsia="Calibri" w:hAnsi="Times New Roman" w:cs="Times New Roman"/>
          <w:i/>
          <w:kern w:val="0"/>
          <w14:ligatures w14:val="none"/>
        </w:rPr>
        <w:t>Mabe</w:t>
      </w:r>
      <w:r w:rsidRPr="000C012F">
        <w:rPr>
          <w:rFonts w:ascii="Times New Roman" w:eastAsia="Calibri" w:hAnsi="Times New Roman" w:cs="Times New Roman"/>
          <w:kern w:val="0"/>
          <w14:ligatures w14:val="none"/>
        </w:rPr>
        <w:t xml:space="preserve">, 237 F.3d at 1106). Even if the removal is pursuant to a court order, the right may be violated if the court order was obtained </w:t>
      </w:r>
      <w:r w:rsidRPr="000C012F">
        <w:rPr>
          <w:rFonts w:ascii="Times New Roman" w:eastAsia="Calibri" w:hAnsi="Times New Roman" w:cs="Times New Roman"/>
          <w:kern w:val="0"/>
          <w14:ligatures w14:val="none"/>
        </w:rPr>
        <w:lastRenderedPageBreak/>
        <w:t xml:space="preserve">through judicial deception, that is, if a plaintiff alleges “(1) a misrepresentation or omission (2) made deliberately or with a reckless disregard for the truth, that was (3) material to the judicial deception.” </w:t>
      </w:r>
      <w:r w:rsidRPr="000C012F">
        <w:rPr>
          <w:rFonts w:ascii="Times New Roman" w:eastAsia="Calibri" w:hAnsi="Times New Roman" w:cs="Times New Roman"/>
          <w:i/>
          <w:kern w:val="0"/>
          <w14:ligatures w14:val="none"/>
        </w:rPr>
        <w:t xml:space="preserve">David v. </w:t>
      </w:r>
      <w:proofErr w:type="spellStart"/>
      <w:r w:rsidRPr="000C012F">
        <w:rPr>
          <w:rFonts w:ascii="Times New Roman" w:eastAsia="Calibri" w:hAnsi="Times New Roman" w:cs="Times New Roman"/>
          <w:i/>
          <w:kern w:val="0"/>
          <w14:ligatures w14:val="none"/>
        </w:rPr>
        <w:t>Kaulukukui</w:t>
      </w:r>
      <w:proofErr w:type="spellEnd"/>
      <w:r w:rsidRPr="000C012F">
        <w:rPr>
          <w:rFonts w:ascii="Times New Roman" w:eastAsia="Calibri" w:hAnsi="Times New Roman" w:cs="Times New Roman"/>
          <w:kern w:val="0"/>
          <w14:ligatures w14:val="none"/>
        </w:rPr>
        <w:t xml:space="preserve">, 38 F.4th 792, 801 (9th Cir. 2022). “A misrepresentation or omission is material if a court would have declined to issue the order had [the defendant] been truthful.” </w:t>
      </w:r>
      <w:r w:rsidRPr="000C012F">
        <w:rPr>
          <w:rFonts w:ascii="Times New Roman" w:eastAsia="Calibri" w:hAnsi="Times New Roman" w:cs="Times New Roman"/>
          <w:i/>
          <w:kern w:val="0"/>
          <w14:ligatures w14:val="none"/>
        </w:rPr>
        <w:t>Id.</w:t>
      </w:r>
      <w:r w:rsidRPr="000C012F">
        <w:rPr>
          <w:rFonts w:ascii="Times New Roman" w:eastAsia="Calibri" w:hAnsi="Times New Roman" w:cs="Times New Roman"/>
          <w:kern w:val="0"/>
          <w14:ligatures w14:val="none"/>
        </w:rPr>
        <w:t xml:space="preserve"> Judicial deception can arise when true observations are made misleading by omission of facts “that are not themselves material[, but] may result in an affidavit that, considered as a whole, is materially misleading.” </w:t>
      </w:r>
      <w:r w:rsidRPr="000C012F">
        <w:rPr>
          <w:rFonts w:ascii="Times New Roman" w:eastAsia="Calibri" w:hAnsi="Times New Roman" w:cs="Times New Roman"/>
          <w:i/>
          <w:kern w:val="0"/>
          <w14:ligatures w14:val="none"/>
        </w:rPr>
        <w:t>Scanlon v. County of Los Angeles</w:t>
      </w:r>
      <w:r w:rsidRPr="000C012F">
        <w:rPr>
          <w:rFonts w:ascii="Times New Roman" w:eastAsia="Calibri" w:hAnsi="Times New Roman" w:cs="Times New Roman"/>
          <w:kern w:val="0"/>
          <w14:ligatures w14:val="none"/>
        </w:rPr>
        <w:t xml:space="preserve">, 92 F.4th 781, 799 (9th Cir. 2024). The “mere threat of separation” is insufficient to give rise to a Fourteenth Amendment claim “based on a minor being separated from his or her parents.” </w:t>
      </w:r>
      <w:r w:rsidRPr="000C012F">
        <w:rPr>
          <w:rFonts w:ascii="Times New Roman" w:eastAsia="Calibri" w:hAnsi="Times New Roman" w:cs="Times New Roman"/>
          <w:i/>
          <w:kern w:val="0"/>
          <w14:ligatures w14:val="none"/>
        </w:rPr>
        <w:t>Dees v. County of San Diego</w:t>
      </w:r>
      <w:r w:rsidRPr="000C012F">
        <w:rPr>
          <w:rFonts w:ascii="Times New Roman" w:eastAsia="Calibri" w:hAnsi="Times New Roman" w:cs="Times New Roman"/>
          <w:kern w:val="0"/>
          <w14:ligatures w14:val="none"/>
        </w:rPr>
        <w:t xml:space="preserve">, 960 F.3d 1145, 1152 (9th Cir. 2020). </w:t>
      </w:r>
    </w:p>
    <w:p w14:paraId="1561C341"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628C56C6"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Removing children from their parents’ custody without court authorization is permissible when officials have reasonable cause to believe that the children are at imminent risk of serious bodily injury or molestation in the time it would take them to get a warrant. </w:t>
      </w:r>
      <w:r w:rsidRPr="000C012F">
        <w:rPr>
          <w:rFonts w:ascii="Times New Roman" w:eastAsia="Calibri" w:hAnsi="Times New Roman" w:cs="Times New Roman"/>
          <w:i/>
          <w:kern w:val="0"/>
          <w14:ligatures w14:val="none"/>
        </w:rPr>
        <w:t>Rogers</w:t>
      </w:r>
      <w:r w:rsidRPr="000C012F">
        <w:rPr>
          <w:rFonts w:ascii="Times New Roman" w:eastAsia="Calibri" w:hAnsi="Times New Roman" w:cs="Times New Roman"/>
          <w:kern w:val="0"/>
          <w14:ligatures w14:val="none"/>
        </w:rPr>
        <w:t xml:space="preserve">, 487 F.3d at 1294-95; </w:t>
      </w:r>
      <w:r w:rsidRPr="000C012F">
        <w:rPr>
          <w:rFonts w:ascii="Times New Roman" w:eastAsia="Calibri" w:hAnsi="Times New Roman" w:cs="Times New Roman"/>
          <w:i/>
          <w:kern w:val="0"/>
          <w14:ligatures w14:val="none"/>
        </w:rPr>
        <w:t>see also Wallis v. Spencer</w:t>
      </w:r>
      <w:r w:rsidRPr="000C012F">
        <w:rPr>
          <w:rFonts w:ascii="Times New Roman" w:eastAsia="Calibri" w:hAnsi="Times New Roman" w:cs="Times New Roman"/>
          <w:kern w:val="0"/>
          <w14:ligatures w14:val="none"/>
        </w:rPr>
        <w:t xml:space="preserve">, 202 F.3d 1126, 1138 (9th Cir. 2000). Serious allegations of abuse must be investigated and corroborated before they will give rise to “a reasonable inference of imminent danger sufficient to justify taking children into temporary custody.” </w:t>
      </w:r>
      <w:r w:rsidRPr="000C012F">
        <w:rPr>
          <w:rFonts w:ascii="Times New Roman" w:eastAsia="Calibri" w:hAnsi="Times New Roman" w:cs="Times New Roman"/>
          <w:i/>
          <w:kern w:val="0"/>
          <w14:ligatures w14:val="none"/>
        </w:rPr>
        <w:t>Demaree v. Pederson</w:t>
      </w:r>
      <w:r w:rsidRPr="000C012F">
        <w:rPr>
          <w:rFonts w:ascii="Times New Roman" w:eastAsia="Calibri" w:hAnsi="Times New Roman" w:cs="Times New Roman"/>
          <w:kern w:val="0"/>
          <w14:ligatures w14:val="none"/>
        </w:rPr>
        <w:t xml:space="preserve">, 887 F.3d 870, 879 (9th Cir. 2018) (per </w:t>
      </w:r>
      <w:proofErr w:type="spellStart"/>
      <w:r w:rsidRPr="000C012F">
        <w:rPr>
          <w:rFonts w:ascii="Times New Roman" w:eastAsia="Calibri" w:hAnsi="Times New Roman" w:cs="Times New Roman"/>
          <w:kern w:val="0"/>
          <w14:ligatures w14:val="none"/>
        </w:rPr>
        <w:t>curiam</w:t>
      </w:r>
      <w:proofErr w:type="spellEnd"/>
      <w:r w:rsidRPr="000C012F">
        <w:rPr>
          <w:rFonts w:ascii="Times New Roman" w:eastAsia="Calibri" w:hAnsi="Times New Roman" w:cs="Times New Roman"/>
          <w:kern w:val="0"/>
          <w14:ligatures w14:val="none"/>
        </w:rPr>
        <w:t xml:space="preserve">) (internal quotation marks omitted). There must be “specific, articulable evidence that provides reasonable cause to believe that a child is in imminent danger of abuse.” </w:t>
      </w:r>
      <w:r w:rsidRPr="000C012F">
        <w:rPr>
          <w:rFonts w:ascii="Times New Roman" w:eastAsia="Calibri" w:hAnsi="Times New Roman" w:cs="Times New Roman"/>
          <w:i/>
          <w:kern w:val="0"/>
          <w14:ligatures w14:val="none"/>
        </w:rPr>
        <w:t>Wallis</w:t>
      </w:r>
      <w:r w:rsidRPr="000C012F">
        <w:rPr>
          <w:rFonts w:ascii="Times New Roman" w:eastAsia="Calibri" w:hAnsi="Times New Roman" w:cs="Times New Roman"/>
          <w:kern w:val="0"/>
          <w14:ligatures w14:val="none"/>
        </w:rPr>
        <w:t xml:space="preserve">, 202 F.3d at 1138; </w:t>
      </w:r>
      <w:r w:rsidRPr="000C012F">
        <w:rPr>
          <w:rFonts w:ascii="Times New Roman" w:eastAsia="Calibri" w:hAnsi="Times New Roman" w:cs="Times New Roman"/>
          <w:i/>
          <w:kern w:val="0"/>
          <w14:ligatures w14:val="none"/>
        </w:rPr>
        <w:t>see also</w:t>
      </w:r>
      <w:r w:rsidRPr="000C012F">
        <w:rPr>
          <w:rFonts w:ascii="Times New Roman" w:eastAsia="Calibri" w:hAnsi="Times New Roman" w:cs="Times New Roman"/>
          <w:kern w:val="0"/>
          <w14:ligatures w14:val="none"/>
        </w:rPr>
        <w:t xml:space="preserve"> </w:t>
      </w:r>
      <w:proofErr w:type="spellStart"/>
      <w:r w:rsidRPr="000C012F">
        <w:rPr>
          <w:rFonts w:ascii="Times New Roman" w:eastAsia="Calibri" w:hAnsi="Times New Roman" w:cs="Times New Roman"/>
          <w:i/>
          <w:kern w:val="0"/>
          <w14:ligatures w14:val="none"/>
        </w:rPr>
        <w:t>Sjurset</w:t>
      </w:r>
      <w:proofErr w:type="spellEnd"/>
      <w:r w:rsidRPr="000C012F">
        <w:rPr>
          <w:rFonts w:ascii="Times New Roman" w:eastAsia="Calibri" w:hAnsi="Times New Roman" w:cs="Times New Roman"/>
          <w:i/>
          <w:kern w:val="0"/>
          <w14:ligatures w14:val="none"/>
        </w:rPr>
        <w:t xml:space="preserve"> v. Button</w:t>
      </w:r>
      <w:r w:rsidRPr="000C012F">
        <w:rPr>
          <w:rFonts w:ascii="Times New Roman" w:eastAsia="Calibri" w:hAnsi="Times New Roman" w:cs="Times New Roman"/>
          <w:kern w:val="0"/>
          <w14:ligatures w14:val="none"/>
        </w:rPr>
        <w:t>, 810 F.3d 609, 622 (9th Cir. 2015) (holding officials’ belief of imminent danger objectively reasonable where mother who had tested positive for drugs and had previously been convicted of child endangerment prevented officers from verifying child’s safety, and officials could not have obtained court order for 36 hours).</w:t>
      </w:r>
    </w:p>
    <w:p w14:paraId="3CE9D2AE"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71443480"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Conversely, removing children from their parents’ custody without a court’s authorization can give rise to a violation of a liberty interest when there is no imminent risk of physical or sexual abuse. </w:t>
      </w:r>
      <w:r w:rsidRPr="000C012F">
        <w:rPr>
          <w:rFonts w:ascii="Times New Roman" w:eastAsia="Calibri" w:hAnsi="Times New Roman" w:cs="Times New Roman"/>
          <w:i/>
          <w:kern w:val="0"/>
          <w14:ligatures w14:val="none"/>
        </w:rPr>
        <w:t>Demaree</w:t>
      </w:r>
      <w:r w:rsidRPr="000C012F">
        <w:rPr>
          <w:rFonts w:ascii="Times New Roman" w:eastAsia="Calibri" w:hAnsi="Times New Roman" w:cs="Times New Roman"/>
          <w:kern w:val="0"/>
          <w14:ligatures w14:val="none"/>
        </w:rPr>
        <w:t xml:space="preserve">, 887 F.3d at 879 (holding that officials unconstitutionally removed children from parents’ custody because officials’ fear of “sexual exploitation” based on nude photos of children was not objectively reasonable since photos were not distributed, did not depict sexual conduct, and did not reflect risk of physical sexual abuse). Evidence that children are malnourished, their home is disorderly or unsanitary, or that their parents lack health insurance or fail to provide them daycare does not constitute exigent circumstances. </w:t>
      </w:r>
      <w:r w:rsidRPr="000C012F">
        <w:rPr>
          <w:rFonts w:ascii="Times New Roman" w:eastAsia="Calibri" w:hAnsi="Times New Roman" w:cs="Times New Roman"/>
          <w:i/>
          <w:kern w:val="0"/>
          <w14:ligatures w14:val="none"/>
        </w:rPr>
        <w:t>Rogers</w:t>
      </w:r>
      <w:r w:rsidRPr="000C012F">
        <w:rPr>
          <w:rFonts w:ascii="Times New Roman" w:eastAsia="Calibri" w:hAnsi="Times New Roman" w:cs="Times New Roman"/>
          <w:kern w:val="0"/>
          <w14:ligatures w14:val="none"/>
        </w:rPr>
        <w:t>,</w:t>
      </w:r>
      <w:r w:rsidRPr="000C012F">
        <w:rPr>
          <w:rFonts w:ascii="Times New Roman" w:eastAsia="Calibri" w:hAnsi="Times New Roman" w:cs="Times New Roman"/>
          <w:i/>
          <w:kern w:val="0"/>
          <w14:ligatures w14:val="none"/>
        </w:rPr>
        <w:t xml:space="preserve"> </w:t>
      </w:r>
      <w:r w:rsidRPr="000C012F">
        <w:rPr>
          <w:rFonts w:ascii="Times New Roman" w:eastAsia="Calibri" w:hAnsi="Times New Roman" w:cs="Times New Roman"/>
          <w:kern w:val="0"/>
          <w14:ligatures w14:val="none"/>
        </w:rPr>
        <w:t xml:space="preserve">487 F.3d at 1296. </w:t>
      </w:r>
    </w:p>
    <w:p w14:paraId="609F03CA"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b/>
          <w:kern w:val="0"/>
          <w14:ligatures w14:val="none"/>
        </w:rPr>
      </w:pPr>
    </w:p>
    <w:p w14:paraId="4F614ECC" w14:textId="77777777" w:rsidR="000C012F" w:rsidRPr="000C012F" w:rsidRDefault="000C012F" w:rsidP="000C012F">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b/>
          <w:kern w:val="0"/>
          <w14:ligatures w14:val="none"/>
        </w:rPr>
      </w:pPr>
      <w:r w:rsidRPr="000C012F">
        <w:rPr>
          <w:rFonts w:ascii="Times New Roman" w:eastAsia="Calibri" w:hAnsi="Times New Roman" w:cs="Times New Roman"/>
          <w:b/>
          <w:kern w:val="0"/>
          <w14:ligatures w14:val="none"/>
        </w:rPr>
        <w:tab/>
        <w:t>B.</w:t>
      </w:r>
      <w:r w:rsidRPr="000C012F">
        <w:rPr>
          <w:rFonts w:ascii="Times New Roman" w:eastAsia="Calibri" w:hAnsi="Times New Roman" w:cs="Times New Roman"/>
          <w:b/>
          <w:kern w:val="0"/>
          <w14:ligatures w14:val="none"/>
        </w:rPr>
        <w:tab/>
        <w:t>Standard for Substantive Due Process Violation</w:t>
      </w:r>
    </w:p>
    <w:p w14:paraId="6318CFF5" w14:textId="77777777" w:rsidR="000C012F" w:rsidRPr="000C012F" w:rsidRDefault="000C012F" w:rsidP="000C012F">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b/>
          <w:kern w:val="0"/>
          <w14:ligatures w14:val="none"/>
        </w:rPr>
      </w:pPr>
    </w:p>
    <w:p w14:paraId="49EEE0C4"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i/>
          <w:kern w:val="0"/>
          <w14:ligatures w14:val="none"/>
        </w:rPr>
      </w:pPr>
      <w:r w:rsidRPr="000C012F">
        <w:rPr>
          <w:rFonts w:ascii="Times New Roman" w:eastAsia="Calibri" w:hAnsi="Times New Roman" w:cs="Times New Roman"/>
          <w:b/>
          <w:kern w:val="0"/>
          <w14:ligatures w14:val="none"/>
        </w:rPr>
        <w:tab/>
      </w:r>
      <w:r w:rsidRPr="000C012F">
        <w:rPr>
          <w:rFonts w:ascii="Times New Roman" w:eastAsia="Calibri" w:hAnsi="Times New Roman" w:cs="Times New Roman"/>
          <w:kern w:val="0"/>
          <w14:ligatures w14:val="none"/>
        </w:rPr>
        <w:t xml:space="preserve">A substantive due process claim of impermissible interference with familial association arises when a state official harms a parent or child in a manner that shocks the conscience. </w:t>
      </w:r>
      <w:r w:rsidRPr="000C012F">
        <w:rPr>
          <w:rFonts w:ascii="Times New Roman" w:eastAsia="Calibri" w:hAnsi="Times New Roman" w:cs="Times New Roman"/>
          <w:i/>
          <w:kern w:val="0"/>
          <w14:ligatures w14:val="none"/>
        </w:rPr>
        <w:t>Porter v. Osborn</w:t>
      </w:r>
      <w:r w:rsidRPr="000C012F">
        <w:rPr>
          <w:rFonts w:ascii="Times New Roman" w:eastAsia="Calibri" w:hAnsi="Times New Roman" w:cs="Times New Roman"/>
          <w:kern w:val="0"/>
          <w14:ligatures w14:val="none"/>
        </w:rPr>
        <w:t xml:space="preserve">, 546 F.3d 1131, 1137 (9th Cir. 2008). Parents and children have a substantive due process right to a familial relationship free from unwarranted state interference. </w:t>
      </w:r>
      <w:r w:rsidRPr="000C012F">
        <w:rPr>
          <w:rFonts w:ascii="Times New Roman" w:eastAsia="Calibri" w:hAnsi="Times New Roman" w:cs="Times New Roman"/>
          <w:i/>
          <w:iCs/>
          <w:kern w:val="0"/>
          <w14:ligatures w14:val="none"/>
        </w:rPr>
        <w:t>Scott v. Smith</w:t>
      </w:r>
      <w:r w:rsidRPr="000C012F">
        <w:rPr>
          <w:rFonts w:ascii="Times New Roman" w:eastAsia="Calibri" w:hAnsi="Times New Roman" w:cs="Times New Roman"/>
          <w:kern w:val="0"/>
          <w14:ligatures w14:val="none"/>
        </w:rPr>
        <w:t xml:space="preserve">, 109 F.4th 1215, 1228 (9th Cir. 2024); </w:t>
      </w:r>
      <w:r w:rsidRPr="000C012F">
        <w:rPr>
          <w:rFonts w:ascii="Times New Roman" w:eastAsia="Calibri" w:hAnsi="Times New Roman" w:cs="Times New Roman"/>
          <w:i/>
          <w:iCs/>
          <w:kern w:val="0"/>
          <w14:ligatures w14:val="none"/>
        </w:rPr>
        <w:t>Hardwick v. County of Orange</w:t>
      </w:r>
      <w:r w:rsidRPr="000C012F">
        <w:rPr>
          <w:rFonts w:ascii="Times New Roman" w:eastAsia="Calibri" w:hAnsi="Times New Roman" w:cs="Times New Roman"/>
          <w:kern w:val="0"/>
          <w14:ligatures w14:val="none"/>
        </w:rPr>
        <w:t xml:space="preserve">, 980 F.3d 733, 740-41 &amp; n.9 (9th Cir. 2020). To show a violation of the right to familial association under the Fourteenth Amendment based on an officer’s use of force, a plaintiff must establish that an officer’s conduct “shocks the conscience.” </w:t>
      </w:r>
      <w:r w:rsidRPr="000C012F">
        <w:rPr>
          <w:rFonts w:ascii="Times New Roman" w:eastAsia="Calibri" w:hAnsi="Times New Roman" w:cs="Times New Roman"/>
          <w:i/>
          <w:iCs/>
          <w:kern w:val="0"/>
          <w14:ligatures w14:val="none"/>
        </w:rPr>
        <w:t>Scott</w:t>
      </w:r>
      <w:r w:rsidRPr="000C012F">
        <w:rPr>
          <w:rFonts w:ascii="Times New Roman" w:eastAsia="Calibri" w:hAnsi="Times New Roman" w:cs="Times New Roman"/>
          <w:kern w:val="0"/>
          <w14:ligatures w14:val="none"/>
        </w:rPr>
        <w:t>, 109 F.4th at 1228;</w:t>
      </w:r>
      <w:r w:rsidRPr="000C012F">
        <w:rPr>
          <w:rFonts w:ascii="Times New Roman" w:eastAsia="Calibri" w:hAnsi="Times New Roman" w:cs="Times New Roman"/>
          <w:i/>
          <w:iCs/>
          <w:kern w:val="0"/>
          <w14:ligatures w14:val="none"/>
        </w:rPr>
        <w:t xml:space="preserve"> Nicholson v. City of Los Angeles</w:t>
      </w:r>
      <w:r w:rsidRPr="000C012F">
        <w:rPr>
          <w:rFonts w:ascii="Times New Roman" w:eastAsia="Calibri" w:hAnsi="Times New Roman" w:cs="Times New Roman"/>
          <w:kern w:val="0"/>
          <w14:ligatures w14:val="none"/>
        </w:rPr>
        <w:t>, 935 F.3d 685, 692 (9th Cir. 2019</w:t>
      </w:r>
      <w:r w:rsidRPr="000C012F">
        <w:rPr>
          <w:rFonts w:ascii="Times New Roman" w:eastAsia="Calibri" w:hAnsi="Times New Roman" w:cs="Times New Roman"/>
          <w:i/>
          <w:iCs/>
          <w:kern w:val="0"/>
          <w14:ligatures w14:val="none"/>
        </w:rPr>
        <w:t>).</w:t>
      </w:r>
    </w:p>
    <w:p w14:paraId="6C319538"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45367343" w14:textId="77777777" w:rsidR="000C012F" w:rsidRPr="000C012F" w:rsidRDefault="000C012F" w:rsidP="000C012F">
      <w:pPr>
        <w:autoSpaceDE w:val="0"/>
        <w:autoSpaceDN w:val="0"/>
        <w:adjustRightInd w:val="0"/>
        <w:spacing w:after="0" w:line="240" w:lineRule="auto"/>
        <w:ind w:firstLine="720"/>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 xml:space="preserve">A Fourteenth Amendment substantive due process claim is distinct from a claim arising under the Fourth Amendment. </w:t>
      </w:r>
      <w:r w:rsidRPr="000C012F">
        <w:rPr>
          <w:rFonts w:ascii="Times New Roman" w:eastAsia="Calibri" w:hAnsi="Times New Roman" w:cs="Times New Roman"/>
          <w:i/>
          <w:kern w:val="0"/>
          <w14:ligatures w14:val="none"/>
        </w:rPr>
        <w:t>See Lewis</w:t>
      </w:r>
      <w:r w:rsidRPr="000C012F">
        <w:rPr>
          <w:rFonts w:ascii="Times New Roman" w:eastAsia="Calibri" w:hAnsi="Times New Roman" w:cs="Times New Roman"/>
          <w:kern w:val="0"/>
          <w14:ligatures w14:val="none"/>
        </w:rPr>
        <w:t>, 523 U.S.</w:t>
      </w:r>
      <w:r w:rsidRPr="000C012F">
        <w:rPr>
          <w:rFonts w:ascii="Times New Roman" w:eastAsia="Calibri" w:hAnsi="Times New Roman" w:cs="Times New Roman"/>
          <w:i/>
          <w:kern w:val="0"/>
          <w14:ligatures w14:val="none"/>
        </w:rPr>
        <w:t xml:space="preserve"> </w:t>
      </w:r>
      <w:r w:rsidRPr="000C012F">
        <w:rPr>
          <w:rFonts w:ascii="Times New Roman" w:eastAsia="Calibri" w:hAnsi="Times New Roman" w:cs="Times New Roman"/>
          <w:kern w:val="0"/>
          <w14:ligatures w14:val="none"/>
        </w:rPr>
        <w:t xml:space="preserve">at 843. A Fourth Amendment excessive force claim requires the victim to establish that the officer’s conduct was objectively unreasonable. </w:t>
      </w:r>
      <w:r w:rsidRPr="000C012F">
        <w:rPr>
          <w:rFonts w:ascii="Times New Roman" w:eastAsia="Calibri" w:hAnsi="Times New Roman" w:cs="Times New Roman"/>
          <w:i/>
          <w:kern w:val="0"/>
          <w14:ligatures w14:val="none"/>
        </w:rPr>
        <w:t>Ochoa v. City of Mesa</w:t>
      </w:r>
      <w:r w:rsidRPr="000C012F">
        <w:rPr>
          <w:rFonts w:ascii="Times New Roman" w:eastAsia="Calibri" w:hAnsi="Times New Roman" w:cs="Times New Roman"/>
          <w:kern w:val="0"/>
          <w14:ligatures w14:val="none"/>
        </w:rPr>
        <w:t xml:space="preserve">, 26 F.4th 1050, 1056 (9th Cir. 2022). But that Fourth Amendment standard is less demanding than the “shocks the conscience” standard that applies to substantive due process familial association claims under the Fourteenth Amendment brought by the parent or child of the victim. </w:t>
      </w:r>
      <w:r w:rsidRPr="000C012F">
        <w:rPr>
          <w:rFonts w:ascii="Times New Roman" w:eastAsia="Calibri" w:hAnsi="Times New Roman" w:cs="Times New Roman"/>
          <w:i/>
          <w:kern w:val="0"/>
          <w14:ligatures w14:val="none"/>
        </w:rPr>
        <w:t>See id.</w:t>
      </w:r>
      <w:r w:rsidRPr="000C012F">
        <w:rPr>
          <w:rFonts w:ascii="Times New Roman" w:eastAsia="Calibri" w:hAnsi="Times New Roman" w:cs="Times New Roman"/>
          <w:kern w:val="0"/>
          <w14:ligatures w14:val="none"/>
        </w:rPr>
        <w:t xml:space="preserve"> at 1056-57. Accordingly, “it may be possible for an officer’s conduct to be objectively unreasonable under the Fourth Amendment yet still not infringe the more demanding standard that governs substantive due process claims under the Fourteenth Amendment.” </w:t>
      </w:r>
      <w:r w:rsidRPr="000C012F">
        <w:rPr>
          <w:rFonts w:ascii="Times New Roman" w:eastAsia="Calibri" w:hAnsi="Times New Roman" w:cs="Times New Roman"/>
          <w:i/>
          <w:kern w:val="0"/>
          <w14:ligatures w14:val="none"/>
        </w:rPr>
        <w:t xml:space="preserve">Id. </w:t>
      </w:r>
      <w:r w:rsidRPr="000C012F">
        <w:rPr>
          <w:rFonts w:ascii="Times New Roman" w:eastAsia="Calibri" w:hAnsi="Times New Roman" w:cs="Times New Roman"/>
          <w:kern w:val="0"/>
          <w14:ligatures w14:val="none"/>
        </w:rPr>
        <w:t>at 1057</w:t>
      </w:r>
      <w:r w:rsidRPr="000C012F">
        <w:rPr>
          <w:rFonts w:ascii="Times New Roman" w:eastAsia="Calibri" w:hAnsi="Times New Roman" w:cs="Times New Roman"/>
          <w:i/>
          <w:kern w:val="0"/>
          <w14:ligatures w14:val="none"/>
        </w:rPr>
        <w:t xml:space="preserve"> </w:t>
      </w:r>
      <w:r w:rsidRPr="000C012F">
        <w:rPr>
          <w:rFonts w:ascii="Times New Roman" w:eastAsia="Calibri" w:hAnsi="Times New Roman" w:cs="Times New Roman"/>
          <w:kern w:val="0"/>
          <w14:ligatures w14:val="none"/>
        </w:rPr>
        <w:t xml:space="preserve">(internal quotation marks and brackets omitted). </w:t>
      </w:r>
    </w:p>
    <w:p w14:paraId="54F0BD29"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highlight w:val="yellow"/>
          <w14:ligatures w14:val="none"/>
        </w:rPr>
      </w:pPr>
    </w:p>
    <w:p w14:paraId="3295B659"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“There are two tests used to decide whether officers’ conduct ‘shocks the conscience.’” </w:t>
      </w:r>
      <w:r w:rsidRPr="000C012F">
        <w:rPr>
          <w:rFonts w:ascii="Times New Roman" w:eastAsia="Calibri" w:hAnsi="Times New Roman" w:cs="Times New Roman"/>
          <w:i/>
          <w:kern w:val="0"/>
          <w14:ligatures w14:val="none"/>
        </w:rPr>
        <w:t xml:space="preserve">Id. </w:t>
      </w:r>
      <w:r w:rsidRPr="000C012F">
        <w:rPr>
          <w:rFonts w:ascii="Times New Roman" w:eastAsia="Calibri" w:hAnsi="Times New Roman" w:cs="Times New Roman"/>
          <w:kern w:val="0"/>
          <w14:ligatures w14:val="none"/>
        </w:rPr>
        <w:t xml:space="preserve">at 1056. A state official’s conduct may shock the conscience if (1) the official acted with a “purpose to harm” the victim for reasons unrelated to legitimate law enforcement objectives; or (2) the official acted with “deliberate indifference” to the victim. </w:t>
      </w:r>
      <w:r w:rsidRPr="000C012F">
        <w:rPr>
          <w:rFonts w:ascii="Times New Roman" w:eastAsia="Calibri" w:hAnsi="Times New Roman" w:cs="Times New Roman"/>
          <w:i/>
          <w:iCs/>
          <w:kern w:val="0"/>
          <w14:ligatures w14:val="none"/>
        </w:rPr>
        <w:t xml:space="preserve">Scott </w:t>
      </w:r>
      <w:r w:rsidRPr="000C012F">
        <w:rPr>
          <w:rFonts w:ascii="Times New Roman" w:eastAsia="Calibri" w:hAnsi="Times New Roman" w:cs="Times New Roman"/>
          <w:kern w:val="0"/>
          <w14:ligatures w14:val="none"/>
        </w:rPr>
        <w:t xml:space="preserve">109 F.4th at 1228. Which test applies turns on the specific circumstances of the underlying events in each case. </w:t>
      </w:r>
      <w:r w:rsidRPr="000C012F">
        <w:rPr>
          <w:rFonts w:ascii="Times New Roman" w:eastAsia="Calibri" w:hAnsi="Times New Roman" w:cs="Times New Roman"/>
          <w:i/>
          <w:kern w:val="0"/>
          <w14:ligatures w14:val="none"/>
        </w:rPr>
        <w:t>Ochoa</w:t>
      </w:r>
      <w:r w:rsidRPr="000C012F">
        <w:rPr>
          <w:rFonts w:ascii="Times New Roman" w:eastAsia="Calibri" w:hAnsi="Times New Roman" w:cs="Times New Roman"/>
          <w:kern w:val="0"/>
          <w14:ligatures w14:val="none"/>
        </w:rPr>
        <w:t xml:space="preserve">, 26 F.4th at 1056 (“Which test applies turns on whether the officers had time to deliberate their conduct.”). If the encounter at issue escalated so quickly that the officer had to make a snap judgment, the plaintiff must show the officer acted with a “purpose to harm.” </w:t>
      </w:r>
      <w:r w:rsidRPr="000C012F">
        <w:rPr>
          <w:rFonts w:ascii="Times New Roman" w:eastAsia="Calibri" w:hAnsi="Times New Roman" w:cs="Times New Roman"/>
          <w:i/>
          <w:kern w:val="0"/>
          <w14:ligatures w14:val="none"/>
        </w:rPr>
        <w:t>See Porter</w:t>
      </w:r>
      <w:r w:rsidRPr="000C012F">
        <w:rPr>
          <w:rFonts w:ascii="Times New Roman" w:eastAsia="Calibri" w:hAnsi="Times New Roman" w:cs="Times New Roman"/>
          <w:kern w:val="0"/>
          <w14:ligatures w14:val="none"/>
        </w:rPr>
        <w:t xml:space="preserve">, 546 F.3d at 1137. However, if the situation evolved within a time frame that allowed officers to reflect before acting, the plaintiff must show the officer acted with “deliberate indifference.” </w:t>
      </w:r>
      <w:r w:rsidRPr="000C012F">
        <w:rPr>
          <w:rFonts w:ascii="Times New Roman" w:eastAsia="Calibri" w:hAnsi="Times New Roman" w:cs="Times New Roman"/>
          <w:i/>
          <w:kern w:val="0"/>
          <w14:ligatures w14:val="none"/>
        </w:rPr>
        <w:t>See id.</w:t>
      </w:r>
      <w:r w:rsidRPr="000C012F">
        <w:rPr>
          <w:rFonts w:ascii="Times New Roman" w:eastAsia="Calibri" w:hAnsi="Times New Roman" w:cs="Times New Roman"/>
          <w:kern w:val="0"/>
          <w14:ligatures w14:val="none"/>
        </w:rPr>
        <w:t xml:space="preserve"> To decide which test to apply, we must thus ask whether actual deliberation by the officer was “practical.” </w:t>
      </w:r>
      <w:r w:rsidRPr="000C012F">
        <w:rPr>
          <w:rFonts w:ascii="Times New Roman" w:eastAsia="Calibri" w:hAnsi="Times New Roman" w:cs="Times New Roman"/>
          <w:i/>
          <w:iCs/>
          <w:kern w:val="0"/>
          <w14:ligatures w14:val="none"/>
        </w:rPr>
        <w:t>Scott</w:t>
      </w:r>
      <w:r w:rsidRPr="000C012F">
        <w:rPr>
          <w:rFonts w:ascii="Times New Roman" w:eastAsia="Calibri" w:hAnsi="Times New Roman" w:cs="Times New Roman"/>
          <w:kern w:val="0"/>
          <w14:ligatures w14:val="none"/>
        </w:rPr>
        <w:t>,</w:t>
      </w:r>
      <w:r w:rsidRPr="000C012F">
        <w:rPr>
          <w:rFonts w:ascii="Times New Roman" w:eastAsia="Calibri" w:hAnsi="Times New Roman" w:cs="Times New Roman"/>
          <w:i/>
          <w:iCs/>
          <w:kern w:val="0"/>
          <w14:ligatures w14:val="none"/>
        </w:rPr>
        <w:t xml:space="preserve"> </w:t>
      </w:r>
      <w:r w:rsidRPr="000C012F">
        <w:rPr>
          <w:rFonts w:ascii="Times New Roman" w:eastAsia="Calibri" w:hAnsi="Times New Roman" w:cs="Times New Roman"/>
          <w:kern w:val="0"/>
          <w14:ligatures w14:val="none"/>
        </w:rPr>
        <w:t xml:space="preserve">109 F.4th at 1228, citing </w:t>
      </w:r>
      <w:r w:rsidRPr="000C012F">
        <w:rPr>
          <w:rFonts w:ascii="Times New Roman" w:eastAsia="Calibri" w:hAnsi="Times New Roman" w:cs="Times New Roman"/>
          <w:i/>
          <w:iCs/>
          <w:kern w:val="0"/>
          <w14:ligatures w14:val="none"/>
        </w:rPr>
        <w:t>Porter</w:t>
      </w:r>
      <w:r w:rsidRPr="000C012F">
        <w:rPr>
          <w:rFonts w:ascii="Times New Roman" w:eastAsia="Calibri" w:hAnsi="Times New Roman" w:cs="Times New Roman"/>
          <w:kern w:val="0"/>
          <w14:ligatures w14:val="none"/>
        </w:rPr>
        <w:t>, 546 F.3d at 1137</w:t>
      </w:r>
      <w:r w:rsidRPr="000C012F">
        <w:rPr>
          <w:rFonts w:ascii="Times New Roman" w:eastAsia="Calibri" w:hAnsi="Times New Roman" w:cs="Times New Roman"/>
          <w:i/>
          <w:iCs/>
          <w:kern w:val="0"/>
          <w14:ligatures w14:val="none"/>
        </w:rPr>
        <w:t>.</w:t>
      </w:r>
    </w:p>
    <w:p w14:paraId="34812FC0"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5B11B429" w14:textId="77777777" w:rsidR="000C012F" w:rsidRPr="000C012F" w:rsidRDefault="000C012F" w:rsidP="000C012F">
      <w:pPr>
        <w:numPr>
          <w:ilvl w:val="0"/>
          <w:numId w:val="2"/>
        </w:numPr>
        <w:tabs>
          <w:tab w:val="left" w:pos="720"/>
          <w:tab w:val="left" w:pos="1440"/>
          <w:tab w:val="left" w:pos="2160"/>
        </w:tabs>
        <w:autoSpaceDE w:val="0"/>
        <w:autoSpaceDN w:val="0"/>
        <w:adjustRightInd w:val="0"/>
        <w:spacing w:after="0" w:line="240" w:lineRule="auto"/>
        <w:contextualSpacing/>
        <w:rPr>
          <w:rFonts w:ascii="Times New Roman" w:eastAsia="Calibri" w:hAnsi="Times New Roman" w:cs="Times New Roman"/>
          <w:b/>
          <w:kern w:val="0"/>
          <w14:ligatures w14:val="none"/>
        </w:rPr>
      </w:pPr>
      <w:r w:rsidRPr="000C012F">
        <w:rPr>
          <w:rFonts w:ascii="Times New Roman" w:eastAsia="Calibri" w:hAnsi="Times New Roman" w:cs="Times New Roman"/>
          <w:b/>
          <w:kern w:val="0"/>
          <w14:ligatures w14:val="none"/>
        </w:rPr>
        <w:t>Purpose to Harm Standard</w:t>
      </w:r>
    </w:p>
    <w:p w14:paraId="513979D0" w14:textId="77777777" w:rsidR="000C012F" w:rsidRPr="000C012F" w:rsidRDefault="000C012F" w:rsidP="000C012F">
      <w:pPr>
        <w:tabs>
          <w:tab w:val="left" w:pos="720"/>
          <w:tab w:val="left" w:pos="1440"/>
          <w:tab w:val="left" w:pos="2160"/>
        </w:tabs>
        <w:autoSpaceDE w:val="0"/>
        <w:autoSpaceDN w:val="0"/>
        <w:adjustRightInd w:val="0"/>
        <w:spacing w:after="0" w:line="240" w:lineRule="auto"/>
        <w:ind w:left="2160"/>
        <w:contextualSpacing/>
        <w:rPr>
          <w:rFonts w:ascii="Times New Roman" w:eastAsia="Calibri" w:hAnsi="Times New Roman" w:cs="Times New Roman"/>
          <w:kern w:val="0"/>
          <w14:ligatures w14:val="none"/>
        </w:rPr>
      </w:pPr>
    </w:p>
    <w:p w14:paraId="2502F023"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The Supreme Court developed the purpose-to-harm standard in recognition that not every harm caused by government officials gives rise to a Fourteenth Amendment claim. </w:t>
      </w:r>
      <w:r w:rsidRPr="000C012F">
        <w:rPr>
          <w:rFonts w:ascii="Times New Roman" w:eastAsia="Calibri" w:hAnsi="Times New Roman" w:cs="Times New Roman"/>
          <w:i/>
          <w:kern w:val="0"/>
          <w14:ligatures w14:val="none"/>
        </w:rPr>
        <w:t>See Lewis</w:t>
      </w:r>
      <w:r w:rsidRPr="000C012F">
        <w:rPr>
          <w:rFonts w:ascii="Times New Roman" w:eastAsia="Calibri" w:hAnsi="Times New Roman" w:cs="Times New Roman"/>
          <w:kern w:val="0"/>
          <w14:ligatures w14:val="none"/>
        </w:rPr>
        <w:t xml:space="preserve">, 523 U.S. at 848-49. For instance, “when unforeseen circumstances demand an officer’s instant judgment, even precipitate recklessness fails to inch close enough to harmful purpose” so as to shock the conscience. </w:t>
      </w:r>
      <w:r w:rsidRPr="000C012F">
        <w:rPr>
          <w:rFonts w:ascii="Times New Roman" w:eastAsia="Calibri" w:hAnsi="Times New Roman" w:cs="Times New Roman"/>
          <w:i/>
          <w:kern w:val="0"/>
          <w14:ligatures w14:val="none"/>
        </w:rPr>
        <w:t xml:space="preserve">Id. </w:t>
      </w:r>
      <w:r w:rsidRPr="000C012F">
        <w:rPr>
          <w:rFonts w:ascii="Times New Roman" w:eastAsia="Calibri" w:hAnsi="Times New Roman" w:cs="Times New Roman"/>
          <w:kern w:val="0"/>
          <w14:ligatures w14:val="none"/>
        </w:rPr>
        <w:t>at 853.</w:t>
      </w:r>
      <w:r w:rsidRPr="000C012F">
        <w:rPr>
          <w:rFonts w:ascii="Times New Roman" w:eastAsia="Calibri" w:hAnsi="Times New Roman" w:cs="Times New Roman"/>
          <w:i/>
          <w:kern w:val="0"/>
          <w14:ligatures w14:val="none"/>
        </w:rPr>
        <w:t xml:space="preserve"> </w:t>
      </w:r>
      <w:r w:rsidRPr="000C012F">
        <w:rPr>
          <w:rFonts w:ascii="Times New Roman" w:eastAsia="Calibri" w:hAnsi="Times New Roman" w:cs="Times New Roman"/>
          <w:kern w:val="0"/>
          <w14:ligatures w14:val="none"/>
        </w:rPr>
        <w:t xml:space="preserve">These circumstances may include high speed police chases, </w:t>
      </w:r>
      <w:r w:rsidRPr="000C012F">
        <w:rPr>
          <w:rFonts w:ascii="Times New Roman" w:eastAsia="Calibri" w:hAnsi="Times New Roman" w:cs="Times New Roman"/>
          <w:i/>
          <w:kern w:val="0"/>
          <w14:ligatures w14:val="none"/>
        </w:rPr>
        <w:t xml:space="preserve">see id. </w:t>
      </w:r>
      <w:r w:rsidRPr="000C012F">
        <w:rPr>
          <w:rFonts w:ascii="Times New Roman" w:eastAsia="Calibri" w:hAnsi="Times New Roman" w:cs="Times New Roman"/>
          <w:kern w:val="0"/>
          <w14:ligatures w14:val="none"/>
        </w:rPr>
        <w:t xml:space="preserve">at 855, responding to a gunfight in a crowded parking lot, </w:t>
      </w:r>
      <w:r w:rsidRPr="000C012F">
        <w:rPr>
          <w:rFonts w:ascii="Times New Roman" w:eastAsia="Calibri" w:hAnsi="Times New Roman" w:cs="Times New Roman"/>
          <w:i/>
          <w:kern w:val="0"/>
          <w14:ligatures w14:val="none"/>
        </w:rPr>
        <w:t xml:space="preserve">Moreland v. Las Vegas Metro. Police </w:t>
      </w:r>
      <w:proofErr w:type="spellStart"/>
      <w:r w:rsidRPr="000C012F">
        <w:rPr>
          <w:rFonts w:ascii="Times New Roman" w:eastAsia="Calibri" w:hAnsi="Times New Roman" w:cs="Times New Roman"/>
          <w:i/>
          <w:kern w:val="0"/>
          <w14:ligatures w14:val="none"/>
        </w:rPr>
        <w:t>Dep’t</w:t>
      </w:r>
      <w:proofErr w:type="spellEnd"/>
      <w:r w:rsidRPr="000C012F">
        <w:rPr>
          <w:rFonts w:ascii="Times New Roman" w:eastAsia="Calibri" w:hAnsi="Times New Roman" w:cs="Times New Roman"/>
          <w:kern w:val="0"/>
          <w14:ligatures w14:val="none"/>
        </w:rPr>
        <w:t xml:space="preserve">, 159 F.3d 365, 368 (9th Cir. 1998), and other situations requiring split-second decisions, where the officer did not have a “practical” opportunity for “actual deliberation.” </w:t>
      </w:r>
      <w:r w:rsidRPr="000C012F">
        <w:rPr>
          <w:rFonts w:ascii="Times New Roman" w:eastAsia="Calibri" w:hAnsi="Times New Roman" w:cs="Times New Roman"/>
          <w:i/>
          <w:kern w:val="0"/>
          <w14:ligatures w14:val="none"/>
        </w:rPr>
        <w:t>Lewis</w:t>
      </w:r>
      <w:r w:rsidRPr="000C012F">
        <w:rPr>
          <w:rFonts w:ascii="Times New Roman" w:eastAsia="Calibri" w:hAnsi="Times New Roman" w:cs="Times New Roman"/>
          <w:kern w:val="0"/>
          <w14:ligatures w14:val="none"/>
        </w:rPr>
        <w:t>,</w:t>
      </w:r>
      <w:r w:rsidRPr="000C012F">
        <w:rPr>
          <w:rFonts w:ascii="Times New Roman" w:eastAsia="Calibri" w:hAnsi="Times New Roman" w:cs="Times New Roman"/>
          <w:i/>
          <w:kern w:val="0"/>
          <w14:ligatures w14:val="none"/>
        </w:rPr>
        <w:t xml:space="preserve"> </w:t>
      </w:r>
      <w:r w:rsidRPr="000C012F">
        <w:rPr>
          <w:rFonts w:ascii="Times New Roman" w:eastAsia="Calibri" w:hAnsi="Times New Roman" w:cs="Times New Roman"/>
          <w:kern w:val="0"/>
          <w14:ligatures w14:val="none"/>
        </w:rPr>
        <w:t xml:space="preserve">523 U.S. at 851; </w:t>
      </w:r>
      <w:r w:rsidRPr="000C012F">
        <w:rPr>
          <w:rFonts w:ascii="Times New Roman" w:eastAsia="Calibri" w:hAnsi="Times New Roman" w:cs="Times New Roman"/>
          <w:i/>
          <w:iCs/>
          <w:kern w:val="0"/>
          <w14:ligatures w14:val="none"/>
        </w:rPr>
        <w:t>see also Puente v. City of Phoenix</w:t>
      </w:r>
      <w:r w:rsidRPr="000C012F">
        <w:rPr>
          <w:rFonts w:ascii="Times New Roman" w:eastAsia="Calibri" w:hAnsi="Times New Roman" w:cs="Times New Roman"/>
          <w:kern w:val="0"/>
          <w14:ligatures w14:val="none"/>
        </w:rPr>
        <w:t>, 123 F.4th 1035, 1056 (9th Cir. 2024) (explaining that the Fourteenth Amendment’s “purpose to harm” standard (rather than the Fourth Amendment’s reasonableness standard) governs the defendant officers’ use of chemical irritants and flash-bangs where the situation had escalated quickly, requiring officers to respond promptly without the luxury of having time to make unhurried judgments).</w:t>
      </w:r>
    </w:p>
    <w:p w14:paraId="7CC344CE"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6A3387B9" w14:textId="2648ACF0"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In </w:t>
      </w:r>
      <w:r w:rsidRPr="000C012F">
        <w:rPr>
          <w:rFonts w:ascii="Times New Roman" w:eastAsia="Calibri" w:hAnsi="Times New Roman" w:cs="Times New Roman"/>
          <w:i/>
          <w:kern w:val="0"/>
          <w14:ligatures w14:val="none"/>
        </w:rPr>
        <w:t>Porter</w:t>
      </w:r>
      <w:r w:rsidRPr="000C012F">
        <w:rPr>
          <w:rFonts w:ascii="Times New Roman" w:eastAsia="Calibri" w:hAnsi="Times New Roman" w:cs="Times New Roman"/>
          <w:i/>
          <w:iCs/>
          <w:kern w:val="0"/>
          <w14:ligatures w14:val="none"/>
        </w:rPr>
        <w:t xml:space="preserve"> v. Osborn</w:t>
      </w:r>
      <w:r w:rsidRPr="000C012F">
        <w:rPr>
          <w:rFonts w:ascii="Times New Roman" w:eastAsia="Calibri" w:hAnsi="Times New Roman" w:cs="Times New Roman"/>
          <w:i/>
          <w:kern w:val="0"/>
          <w14:ligatures w14:val="none"/>
        </w:rPr>
        <w:t>,</w:t>
      </w:r>
      <w:r w:rsidRPr="000C012F">
        <w:rPr>
          <w:rFonts w:ascii="Times New Roman" w:eastAsia="Calibri" w:hAnsi="Times New Roman" w:cs="Times New Roman"/>
          <w:kern w:val="0"/>
          <w14:ligatures w14:val="none"/>
        </w:rPr>
        <w:t xml:space="preserve"> 546 F.3d 1131, 1137 (9th Cir. 2008),</w:t>
      </w:r>
      <w:r w:rsidRPr="000C012F">
        <w:rPr>
          <w:rFonts w:ascii="Times New Roman" w:eastAsia="Calibri" w:hAnsi="Times New Roman" w:cs="Times New Roman"/>
          <w:i/>
          <w:kern w:val="0"/>
          <w14:ligatures w14:val="none"/>
        </w:rPr>
        <w:t xml:space="preserve"> </w:t>
      </w:r>
      <w:r w:rsidRPr="000C012F">
        <w:rPr>
          <w:rFonts w:ascii="Times New Roman" w:eastAsia="Calibri" w:hAnsi="Times New Roman" w:cs="Times New Roman"/>
          <w:kern w:val="0"/>
          <w14:ligatures w14:val="none"/>
        </w:rPr>
        <w:t>the Ninth Circuit held that the “purpose to harm” standard applied to a Fourteenth Amendment familial association claim brought by the surviving parents of a motorist who was shot and killed, “[d]</w:t>
      </w:r>
      <w:proofErr w:type="spellStart"/>
      <w:r w:rsidRPr="000C012F">
        <w:rPr>
          <w:rFonts w:ascii="Times New Roman" w:eastAsia="Calibri" w:hAnsi="Times New Roman" w:cs="Times New Roman"/>
          <w:kern w:val="0"/>
          <w14:ligatures w14:val="none"/>
        </w:rPr>
        <w:t>ue</w:t>
      </w:r>
      <w:proofErr w:type="spellEnd"/>
      <w:r w:rsidRPr="000C012F">
        <w:rPr>
          <w:rFonts w:ascii="Times New Roman" w:eastAsia="Calibri" w:hAnsi="Times New Roman" w:cs="Times New Roman"/>
          <w:kern w:val="0"/>
          <w14:ligatures w14:val="none"/>
        </w:rPr>
        <w:t xml:space="preserve"> to the rapidly escalating nature of the confrontation” with the motorist, such that actual deliberation was not practical. </w:t>
      </w:r>
      <w:r w:rsidRPr="000C012F">
        <w:rPr>
          <w:rFonts w:ascii="Times New Roman" w:eastAsia="Calibri" w:hAnsi="Times New Roman" w:cs="Times New Roman"/>
          <w:i/>
          <w:kern w:val="0"/>
          <w14:ligatures w14:val="none"/>
        </w:rPr>
        <w:t xml:space="preserve">Id. </w:t>
      </w:r>
      <w:r w:rsidRPr="000C012F">
        <w:rPr>
          <w:rFonts w:ascii="Times New Roman" w:eastAsia="Calibri" w:hAnsi="Times New Roman" w:cs="Times New Roman"/>
          <w:kern w:val="0"/>
          <w14:ligatures w14:val="none"/>
        </w:rPr>
        <w:t xml:space="preserve">at 1137. Similarly, in </w:t>
      </w:r>
      <w:r w:rsidRPr="000C012F">
        <w:rPr>
          <w:rFonts w:ascii="Times New Roman" w:eastAsia="Calibri" w:hAnsi="Times New Roman" w:cs="Times New Roman"/>
          <w:i/>
          <w:kern w:val="0"/>
          <w14:ligatures w14:val="none"/>
        </w:rPr>
        <w:t>Ochoa</w:t>
      </w:r>
      <w:r w:rsidRPr="000C012F">
        <w:rPr>
          <w:rFonts w:ascii="Times New Roman" w:eastAsia="Calibri" w:hAnsi="Times New Roman" w:cs="Times New Roman"/>
          <w:i/>
          <w:iCs/>
          <w:kern w:val="0"/>
          <w14:ligatures w14:val="none"/>
        </w:rPr>
        <w:t>,</w:t>
      </w:r>
      <w:r w:rsidRPr="000C012F">
        <w:rPr>
          <w:rFonts w:ascii="Times New Roman" w:eastAsia="Calibri" w:hAnsi="Times New Roman" w:cs="Times New Roman"/>
          <w:i/>
          <w:kern w:val="0"/>
          <w14:ligatures w14:val="none"/>
        </w:rPr>
        <w:t xml:space="preserve"> </w:t>
      </w:r>
      <w:r w:rsidRPr="000C012F">
        <w:rPr>
          <w:rFonts w:ascii="Times New Roman" w:eastAsia="Calibri" w:hAnsi="Times New Roman" w:cs="Times New Roman"/>
          <w:kern w:val="0"/>
          <w14:ligatures w14:val="none"/>
        </w:rPr>
        <w:t xml:space="preserve">the Ninth Circuit applied the purpose to harm standard </w:t>
      </w:r>
      <w:r w:rsidRPr="000C012F">
        <w:rPr>
          <w:rFonts w:ascii="Times New Roman" w:eastAsia="Calibri" w:hAnsi="Times New Roman" w:cs="Times New Roman"/>
          <w:kern w:val="0"/>
          <w14:ligatures w14:val="none"/>
        </w:rPr>
        <w:lastRenderedPageBreak/>
        <w:t xml:space="preserve">to a familial association claim brought by the surviving relatives of a suspect who was fatally shot after he took a step towards officers while carrying a knife. </w:t>
      </w:r>
      <w:r w:rsidRPr="000C012F">
        <w:rPr>
          <w:rFonts w:ascii="Times New Roman" w:eastAsia="Calibri" w:hAnsi="Times New Roman" w:cs="Times New Roman"/>
          <w:i/>
          <w:kern w:val="0"/>
          <w14:ligatures w14:val="none"/>
        </w:rPr>
        <w:t>Ochoa</w:t>
      </w:r>
      <w:r w:rsidRPr="000C012F">
        <w:rPr>
          <w:rFonts w:ascii="Times New Roman" w:eastAsia="Calibri" w:hAnsi="Times New Roman" w:cs="Times New Roman"/>
          <w:kern w:val="0"/>
          <w14:ligatures w14:val="none"/>
        </w:rPr>
        <w:t>, 26 F.4th 1056 (stating that under the purpose to harm standard of culpability the plaintiffs must prove that the officer’s purpose was “to cause harm unrelated to the legitimate object of arrest”).</w:t>
      </w:r>
      <w:r>
        <w:rPr>
          <w:rFonts w:ascii="Times New Roman" w:eastAsia="Calibri" w:hAnsi="Times New Roman" w:cs="Times New Roman"/>
          <w:kern w:val="0"/>
          <w14:ligatures w14:val="none"/>
        </w:rPr>
        <w:t xml:space="preserve"> </w:t>
      </w:r>
      <w:r w:rsidRPr="000C012F">
        <w:rPr>
          <w:rFonts w:ascii="Times New Roman" w:eastAsia="Calibri" w:hAnsi="Times New Roman" w:cs="Times New Roman"/>
          <w:kern w:val="0"/>
          <w14:ligatures w14:val="none"/>
        </w:rPr>
        <w:t xml:space="preserve">And in </w:t>
      </w:r>
      <w:r w:rsidRPr="000C012F">
        <w:rPr>
          <w:rFonts w:ascii="Times New Roman" w:eastAsia="Calibri" w:hAnsi="Times New Roman" w:cs="Times New Roman"/>
          <w:i/>
          <w:iCs/>
          <w:kern w:val="0"/>
          <w14:ligatures w14:val="none"/>
        </w:rPr>
        <w:t xml:space="preserve">Estate of </w:t>
      </w:r>
      <w:proofErr w:type="spellStart"/>
      <w:r w:rsidRPr="000C012F">
        <w:rPr>
          <w:rFonts w:ascii="Times New Roman" w:eastAsia="Calibri" w:hAnsi="Times New Roman" w:cs="Times New Roman"/>
          <w:i/>
          <w:iCs/>
          <w:kern w:val="0"/>
          <w14:ligatures w14:val="none"/>
        </w:rPr>
        <w:t>Soakai</w:t>
      </w:r>
      <w:proofErr w:type="spellEnd"/>
      <w:r w:rsidRPr="000C012F">
        <w:rPr>
          <w:rFonts w:ascii="Times New Roman" w:eastAsia="Calibri" w:hAnsi="Times New Roman" w:cs="Times New Roman"/>
          <w:i/>
          <w:iCs/>
          <w:kern w:val="0"/>
          <w14:ligatures w14:val="none"/>
        </w:rPr>
        <w:t xml:space="preserve"> v. Abdelaziz</w:t>
      </w:r>
      <w:r w:rsidRPr="000C012F">
        <w:rPr>
          <w:rFonts w:ascii="Times New Roman" w:eastAsia="Calibri" w:hAnsi="Times New Roman" w:cs="Times New Roman"/>
          <w:kern w:val="0"/>
          <w14:ligatures w14:val="none"/>
        </w:rPr>
        <w:t xml:space="preserve">, the Ninth Circuit held that the plaintiffs, bystanders who were killed or injured after a suspect crashed into them, had “stated a substantive due process claim by plausibly alleging that they, as bystanders, were injured when Defendants engaged in a high-speed chase for the purpose of harming the fleeing suspect without a legitimate law enforcement objective.” 137 F.4th 969, 980 (9th Cir. 2025).  In that case, the plaintiffs alleged that the defendant officers had pursued the suspect at high speeds through city streets without activating their lights or sirens and had expressed their hope that the suspect had been killed in the crash. </w:t>
      </w:r>
      <w:r w:rsidRPr="000C012F">
        <w:rPr>
          <w:rFonts w:ascii="Times New Roman" w:eastAsia="Calibri" w:hAnsi="Times New Roman" w:cs="Times New Roman"/>
          <w:i/>
          <w:iCs/>
          <w:kern w:val="0"/>
          <w14:ligatures w14:val="none"/>
        </w:rPr>
        <w:t>Id.</w:t>
      </w:r>
      <w:r w:rsidRPr="000C012F">
        <w:rPr>
          <w:rFonts w:ascii="Times New Roman" w:eastAsia="Calibri" w:hAnsi="Times New Roman" w:cs="Times New Roman"/>
          <w:kern w:val="0"/>
          <w14:ligatures w14:val="none"/>
        </w:rPr>
        <w:t xml:space="preserve"> at 975.</w:t>
      </w:r>
    </w:p>
    <w:p w14:paraId="55EAABD5"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26CEEC3D" w14:textId="4C360ECA"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In </w:t>
      </w:r>
      <w:r w:rsidRPr="000C012F">
        <w:rPr>
          <w:rFonts w:ascii="Times New Roman" w:eastAsia="Calibri" w:hAnsi="Times New Roman" w:cs="Times New Roman"/>
          <w:i/>
          <w:kern w:val="0"/>
          <w14:ligatures w14:val="none"/>
        </w:rPr>
        <w:t>A.D. v. Cal. Highway Patrol</w:t>
      </w:r>
      <w:r w:rsidRPr="000C012F">
        <w:rPr>
          <w:rFonts w:ascii="Times New Roman" w:eastAsia="Calibri" w:hAnsi="Times New Roman" w:cs="Times New Roman"/>
          <w:iCs/>
          <w:kern w:val="0"/>
          <w14:ligatures w14:val="none"/>
        </w:rPr>
        <w:t xml:space="preserve">, </w:t>
      </w:r>
      <w:r w:rsidRPr="000C012F">
        <w:rPr>
          <w:rFonts w:ascii="Times New Roman" w:eastAsia="Calibri" w:hAnsi="Times New Roman" w:cs="Times New Roman"/>
          <w:kern w:val="0"/>
          <w14:ligatures w14:val="none"/>
        </w:rPr>
        <w:t xml:space="preserve">the Ninth Circuit held that the jury could have reasonably concluded that the officer “acted with the purpose to harm unrelated to a legitimate law enforcement objective,” and upheld the jury’s verdict for the suspect’s surviving children when </w:t>
      </w:r>
      <w:r>
        <w:rPr>
          <w:rFonts w:ascii="Times New Roman" w:eastAsia="Calibri" w:hAnsi="Times New Roman" w:cs="Times New Roman"/>
          <w:kern w:val="0"/>
          <w14:ligatures w14:val="none"/>
        </w:rPr>
        <w:t>the</w:t>
      </w:r>
      <w:r w:rsidRPr="000C012F">
        <w:rPr>
          <w:rFonts w:ascii="Times New Roman" w:eastAsia="Calibri" w:hAnsi="Times New Roman" w:cs="Times New Roman"/>
          <w:kern w:val="0"/>
          <w14:ligatures w14:val="none"/>
        </w:rPr>
        <w:t xml:space="preserve"> officer shot twelve rounds at an occupied vehicle even though the car presented no immediate threat</w:t>
      </w:r>
      <w:r>
        <w:rPr>
          <w:rFonts w:ascii="Times New Roman" w:eastAsia="Calibri" w:hAnsi="Times New Roman" w:cs="Times New Roman"/>
          <w:kern w:val="0"/>
          <w14:ligatures w14:val="none"/>
        </w:rPr>
        <w:t xml:space="preserve">. </w:t>
      </w:r>
      <w:r w:rsidRPr="000C012F">
        <w:rPr>
          <w:rFonts w:ascii="Times New Roman" w:eastAsia="Calibri" w:hAnsi="Times New Roman" w:cs="Times New Roman"/>
          <w:kern w:val="0"/>
          <w14:ligatures w14:val="none"/>
        </w:rPr>
        <w:t>712 F.3d 446, 458 (9th Cir. 2013) (stating that the officer acted “with a purpose to harm unrelated to the legitimate law enforcement objectives of arrest, self-defense, or defense of others”).</w:t>
      </w:r>
    </w:p>
    <w:p w14:paraId="6B499C2D"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01F95726"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r>
      <w:r w:rsidRPr="000C012F">
        <w:rPr>
          <w:rFonts w:ascii="Times New Roman" w:eastAsia="Calibri" w:hAnsi="Times New Roman" w:cs="Times New Roman"/>
          <w:i/>
          <w:kern w:val="0"/>
          <w14:ligatures w14:val="none"/>
        </w:rPr>
        <w:t xml:space="preserve">Zion v. County of Orange </w:t>
      </w:r>
      <w:r w:rsidRPr="000C012F">
        <w:rPr>
          <w:rFonts w:ascii="Times New Roman" w:eastAsia="Calibri" w:hAnsi="Times New Roman" w:cs="Times New Roman"/>
          <w:kern w:val="0"/>
          <w14:ligatures w14:val="none"/>
        </w:rPr>
        <w:t xml:space="preserve">exemplifies the distinction between legitimate and illegitimate official conduct. The officer in </w:t>
      </w:r>
      <w:r w:rsidRPr="000C012F">
        <w:rPr>
          <w:rFonts w:ascii="Times New Roman" w:eastAsia="Calibri" w:hAnsi="Times New Roman" w:cs="Times New Roman"/>
          <w:i/>
          <w:kern w:val="0"/>
          <w14:ligatures w14:val="none"/>
        </w:rPr>
        <w:t xml:space="preserve">Zion </w:t>
      </w:r>
      <w:r w:rsidRPr="000C012F">
        <w:rPr>
          <w:rFonts w:ascii="Times New Roman" w:eastAsia="Calibri" w:hAnsi="Times New Roman" w:cs="Times New Roman"/>
          <w:kern w:val="0"/>
          <w14:ligatures w14:val="none"/>
        </w:rPr>
        <w:t>did not violate the Fourteenth Amendment when he emptied his weapon at a suspect who was fleeing after stabbing an officer because the officer had no time for reflection, and “[w]</w:t>
      </w:r>
      <w:proofErr w:type="spellStart"/>
      <w:r w:rsidRPr="000C012F">
        <w:rPr>
          <w:rFonts w:ascii="Times New Roman" w:eastAsia="Calibri" w:hAnsi="Times New Roman" w:cs="Times New Roman"/>
          <w:kern w:val="0"/>
          <w14:ligatures w14:val="none"/>
        </w:rPr>
        <w:t>hether</w:t>
      </w:r>
      <w:proofErr w:type="spellEnd"/>
      <w:r w:rsidRPr="000C012F">
        <w:rPr>
          <w:rFonts w:ascii="Times New Roman" w:eastAsia="Calibri" w:hAnsi="Times New Roman" w:cs="Times New Roman"/>
          <w:kern w:val="0"/>
          <w14:ligatures w14:val="none"/>
        </w:rPr>
        <w:t xml:space="preserve"> excessive or not, the shootings served the legitimate purpose of stopping a dangerous suspect.” 874 F.3d 1072, 1077 (9th Cir. 2017). However, there was a genuine issue of fact as to whether the officer acted with a purpose to harm when, after the suspect was lying on the ground in a fetal position, the officer walked around in a circle for several seconds, then took a running start and stomped on the suspect’s head three times. </w:t>
      </w:r>
      <w:r w:rsidRPr="000C012F">
        <w:rPr>
          <w:rFonts w:ascii="Times New Roman" w:eastAsia="Calibri" w:hAnsi="Times New Roman" w:cs="Times New Roman"/>
          <w:i/>
          <w:kern w:val="0"/>
          <w14:ligatures w14:val="none"/>
        </w:rPr>
        <w:t xml:space="preserve">See id. </w:t>
      </w:r>
      <w:r w:rsidRPr="000C012F">
        <w:rPr>
          <w:rFonts w:ascii="Times New Roman" w:eastAsia="Calibri" w:hAnsi="Times New Roman" w:cs="Times New Roman"/>
          <w:kern w:val="0"/>
          <w14:ligatures w14:val="none"/>
        </w:rPr>
        <w:t>(reversing summary judgment in favor of officer defendant).</w:t>
      </w:r>
    </w:p>
    <w:p w14:paraId="5590F664"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35492CE7" w14:textId="77777777" w:rsidR="000C012F" w:rsidRPr="000C012F" w:rsidRDefault="000C012F" w:rsidP="000C012F">
      <w:pPr>
        <w:numPr>
          <w:ilvl w:val="0"/>
          <w:numId w:val="2"/>
        </w:numPr>
        <w:tabs>
          <w:tab w:val="left" w:pos="720"/>
          <w:tab w:val="left" w:pos="1440"/>
          <w:tab w:val="left" w:pos="2160"/>
        </w:tabs>
        <w:autoSpaceDE w:val="0"/>
        <w:autoSpaceDN w:val="0"/>
        <w:adjustRightInd w:val="0"/>
        <w:spacing w:after="0" w:line="240" w:lineRule="auto"/>
        <w:contextualSpacing/>
        <w:rPr>
          <w:rFonts w:ascii="Times New Roman" w:eastAsia="Calibri" w:hAnsi="Times New Roman" w:cs="Times New Roman"/>
          <w:kern w:val="0"/>
          <w14:ligatures w14:val="none"/>
        </w:rPr>
      </w:pPr>
      <w:r w:rsidRPr="000C012F">
        <w:rPr>
          <w:rFonts w:ascii="Times New Roman" w:eastAsia="Calibri" w:hAnsi="Times New Roman" w:cs="Times New Roman"/>
          <w:b/>
          <w:kern w:val="0"/>
          <w14:ligatures w14:val="none"/>
        </w:rPr>
        <w:t>Deliberate Indifference Standard</w:t>
      </w:r>
      <w:r w:rsidRPr="000C012F">
        <w:rPr>
          <w:rFonts w:ascii="Times New Roman" w:eastAsia="Calibri" w:hAnsi="Times New Roman" w:cs="Times New Roman"/>
          <w:kern w:val="0"/>
          <w14:ligatures w14:val="none"/>
        </w:rPr>
        <w:t xml:space="preserve">   </w:t>
      </w:r>
    </w:p>
    <w:p w14:paraId="534C6AD7" w14:textId="77777777" w:rsidR="000C012F" w:rsidRPr="000C012F" w:rsidRDefault="000C012F" w:rsidP="000C012F">
      <w:pPr>
        <w:tabs>
          <w:tab w:val="left" w:pos="720"/>
          <w:tab w:val="left" w:pos="1440"/>
          <w:tab w:val="left" w:pos="2160"/>
        </w:tabs>
        <w:autoSpaceDE w:val="0"/>
        <w:autoSpaceDN w:val="0"/>
        <w:adjustRightInd w:val="0"/>
        <w:spacing w:after="0" w:line="240" w:lineRule="auto"/>
        <w:ind w:left="2160"/>
        <w:contextualSpacing/>
        <w:rPr>
          <w:rFonts w:ascii="Times New Roman" w:eastAsia="Calibri" w:hAnsi="Times New Roman" w:cs="Times New Roman"/>
          <w:kern w:val="0"/>
          <w14:ligatures w14:val="none"/>
        </w:rPr>
      </w:pPr>
    </w:p>
    <w:p w14:paraId="35AB9A8A"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i/>
          <w:kern w:val="0"/>
          <w14:ligatures w14:val="none"/>
        </w:rPr>
      </w:pPr>
      <w:r w:rsidRPr="000C012F">
        <w:rPr>
          <w:rFonts w:ascii="Times New Roman" w:eastAsia="Calibri" w:hAnsi="Times New Roman" w:cs="Times New Roman"/>
          <w:kern w:val="0"/>
          <w14:ligatures w14:val="none"/>
        </w:rPr>
        <w:tab/>
        <w:t xml:space="preserve">The deliberate indifference standard applies in situations where the officers who caused the harm to the parent or child acted (or failed to act) in a situation when “actual deliberation is practical.” </w:t>
      </w:r>
      <w:r w:rsidRPr="000C012F">
        <w:rPr>
          <w:rFonts w:ascii="Times New Roman" w:eastAsia="Calibri" w:hAnsi="Times New Roman" w:cs="Times New Roman"/>
          <w:i/>
          <w:kern w:val="0"/>
          <w14:ligatures w14:val="none"/>
        </w:rPr>
        <w:t>Lewis</w:t>
      </w:r>
      <w:r w:rsidRPr="000C012F">
        <w:rPr>
          <w:rFonts w:ascii="Times New Roman" w:eastAsia="Calibri" w:hAnsi="Times New Roman" w:cs="Times New Roman"/>
          <w:kern w:val="0"/>
          <w14:ligatures w14:val="none"/>
        </w:rPr>
        <w:t xml:space="preserve">, 523 U.S. at 851. When officials have “time to make unhurried judgments,” and “extended opportunities to do better,” but unreasonably allow harm to occur, then their “protracted failure even to care” can shock the conscience, thus giving rise to a substantive due process claim. </w:t>
      </w:r>
      <w:r w:rsidRPr="000C012F">
        <w:rPr>
          <w:rFonts w:ascii="Times New Roman" w:eastAsia="Calibri" w:hAnsi="Times New Roman" w:cs="Times New Roman"/>
          <w:i/>
          <w:kern w:val="0"/>
          <w14:ligatures w14:val="none"/>
        </w:rPr>
        <w:t>Id</w:t>
      </w:r>
      <w:r w:rsidRPr="000C012F">
        <w:rPr>
          <w:rFonts w:ascii="Times New Roman" w:eastAsia="Calibri" w:hAnsi="Times New Roman" w:cs="Times New Roman"/>
          <w:kern w:val="0"/>
          <w14:ligatures w14:val="none"/>
        </w:rPr>
        <w:t xml:space="preserve">. “Actual deliberation” requires a longer period of time than “deliberation” as that term is used in homicide law. </w:t>
      </w:r>
      <w:r w:rsidRPr="000C012F">
        <w:rPr>
          <w:rFonts w:ascii="Times New Roman" w:eastAsia="Calibri" w:hAnsi="Times New Roman" w:cs="Times New Roman"/>
          <w:i/>
          <w:kern w:val="0"/>
          <w14:ligatures w14:val="none"/>
        </w:rPr>
        <w:t xml:space="preserve">See id. </w:t>
      </w:r>
      <w:r w:rsidRPr="000C012F">
        <w:rPr>
          <w:rFonts w:ascii="Times New Roman" w:eastAsia="Calibri" w:hAnsi="Times New Roman" w:cs="Times New Roman"/>
          <w:kern w:val="0"/>
          <w14:ligatures w14:val="none"/>
        </w:rPr>
        <w:t xml:space="preserve">at 851 n.11 (“By ‘actual deliberation,’ we do not mean ‘deliberation’ in the narrow, technical sense in which it has sometimes been used in traditional homicide law.”). Deliberation may be practical even without an extended timeline of events. </w:t>
      </w:r>
      <w:r w:rsidRPr="000C012F">
        <w:rPr>
          <w:rFonts w:ascii="Times New Roman" w:eastAsia="Calibri" w:hAnsi="Times New Roman" w:cs="Times New Roman"/>
          <w:i/>
          <w:iCs/>
          <w:kern w:val="0"/>
          <w14:ligatures w14:val="none"/>
        </w:rPr>
        <w:t>See Scott</w:t>
      </w:r>
      <w:r w:rsidRPr="000C012F">
        <w:rPr>
          <w:rFonts w:ascii="Times New Roman" w:eastAsia="Calibri" w:hAnsi="Times New Roman" w:cs="Times New Roman"/>
          <w:kern w:val="0"/>
          <w14:ligatures w14:val="none"/>
        </w:rPr>
        <w:t xml:space="preserve">, 109 F.4th at 1228; </w:t>
      </w:r>
      <w:r w:rsidRPr="000C012F">
        <w:rPr>
          <w:rFonts w:ascii="Times New Roman" w:eastAsia="Calibri" w:hAnsi="Times New Roman" w:cs="Times New Roman"/>
          <w:i/>
          <w:iCs/>
          <w:kern w:val="0"/>
          <w14:ligatures w14:val="none"/>
        </w:rPr>
        <w:t>Nicholson v. City of Los Angeles</w:t>
      </w:r>
      <w:r w:rsidRPr="000C012F">
        <w:rPr>
          <w:rFonts w:ascii="Times New Roman" w:eastAsia="Calibri" w:hAnsi="Times New Roman" w:cs="Times New Roman"/>
          <w:kern w:val="0"/>
          <w14:ligatures w14:val="none"/>
        </w:rPr>
        <w:t xml:space="preserve">, 935 F.3d 685, 693-94 (9th Cir. 2019) (“An officer had time to deliberate when, after seeing a teenager with a toy gun, he jumped out of a car and fired several shots.”). Because it shocks the conscience for officials to cause harm to a parent or child with deliberate indifference, a substantive due process claim of impermissible interference with familial association can arise in these circumstances. </w:t>
      </w:r>
      <w:r w:rsidRPr="000C012F">
        <w:rPr>
          <w:rFonts w:ascii="Times New Roman" w:eastAsia="Calibri" w:hAnsi="Times New Roman" w:cs="Times New Roman"/>
          <w:i/>
          <w:kern w:val="0"/>
          <w14:ligatures w14:val="none"/>
        </w:rPr>
        <w:t>Porter</w:t>
      </w:r>
      <w:r w:rsidRPr="000C012F">
        <w:rPr>
          <w:rFonts w:ascii="Times New Roman" w:eastAsia="Calibri" w:hAnsi="Times New Roman" w:cs="Times New Roman"/>
          <w:kern w:val="0"/>
          <w14:ligatures w14:val="none"/>
        </w:rPr>
        <w:t xml:space="preserve">, 546 F.3d at 1137; </w:t>
      </w:r>
      <w:r w:rsidRPr="000C012F">
        <w:rPr>
          <w:rFonts w:ascii="Times New Roman" w:eastAsia="Calibri" w:hAnsi="Times New Roman" w:cs="Times New Roman"/>
          <w:i/>
          <w:iCs/>
          <w:kern w:val="0"/>
          <w14:ligatures w14:val="none"/>
        </w:rPr>
        <w:lastRenderedPageBreak/>
        <w:t>Scott</w:t>
      </w:r>
      <w:r w:rsidRPr="000C012F">
        <w:rPr>
          <w:rFonts w:ascii="Times New Roman" w:eastAsia="Calibri" w:hAnsi="Times New Roman" w:cs="Times New Roman"/>
          <w:kern w:val="0"/>
          <w14:ligatures w14:val="none"/>
        </w:rPr>
        <w:t>, 109 F.4th at 1228 (stating the officers had time to deliberate because the encounter was not escalating, officers had time to consider their next steps, seven minutes passed after the officers arrived on the scene and had called their sergeant to ask for guidance).</w:t>
      </w:r>
    </w:p>
    <w:p w14:paraId="13547135"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2987C643"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The deliberate indifference standard often applies in cases of state officials’ inaction or failure to protect. Although the Fourteenth Amendment’s due process clause generally does not create an affirmative right to governmental aid, </w:t>
      </w:r>
      <w:r w:rsidRPr="000C012F">
        <w:rPr>
          <w:rFonts w:ascii="Times New Roman" w:eastAsia="Calibri" w:hAnsi="Times New Roman" w:cs="Times New Roman"/>
          <w:i/>
          <w:kern w:val="0"/>
          <w14:ligatures w14:val="none"/>
        </w:rPr>
        <w:t xml:space="preserve">see </w:t>
      </w:r>
      <w:proofErr w:type="spellStart"/>
      <w:r w:rsidRPr="000C012F">
        <w:rPr>
          <w:rFonts w:ascii="Times New Roman" w:eastAsia="Calibri" w:hAnsi="Times New Roman" w:cs="Times New Roman"/>
          <w:i/>
          <w:kern w:val="0"/>
          <w14:ligatures w14:val="none"/>
        </w:rPr>
        <w:t>DeShaney</w:t>
      </w:r>
      <w:proofErr w:type="spellEnd"/>
      <w:r w:rsidRPr="000C012F">
        <w:rPr>
          <w:rFonts w:ascii="Times New Roman" w:eastAsia="Calibri" w:hAnsi="Times New Roman" w:cs="Times New Roman"/>
          <w:i/>
          <w:kern w:val="0"/>
          <w14:ligatures w14:val="none"/>
        </w:rPr>
        <w:t xml:space="preserve"> v. Winnebago </w:t>
      </w:r>
      <w:proofErr w:type="spellStart"/>
      <w:r w:rsidRPr="000C012F">
        <w:rPr>
          <w:rFonts w:ascii="Times New Roman" w:eastAsia="Calibri" w:hAnsi="Times New Roman" w:cs="Times New Roman"/>
          <w:i/>
          <w:kern w:val="0"/>
          <w14:ligatures w14:val="none"/>
        </w:rPr>
        <w:t>Cnty</w:t>
      </w:r>
      <w:proofErr w:type="spellEnd"/>
      <w:r w:rsidRPr="000C012F">
        <w:rPr>
          <w:rFonts w:ascii="Times New Roman" w:eastAsia="Calibri" w:hAnsi="Times New Roman" w:cs="Times New Roman"/>
          <w:i/>
          <w:kern w:val="0"/>
          <w14:ligatures w14:val="none"/>
        </w:rPr>
        <w:t xml:space="preserve">. </w:t>
      </w:r>
      <w:proofErr w:type="spellStart"/>
      <w:r w:rsidRPr="000C012F">
        <w:rPr>
          <w:rFonts w:ascii="Times New Roman" w:eastAsia="Calibri" w:hAnsi="Times New Roman" w:cs="Times New Roman"/>
          <w:i/>
          <w:kern w:val="0"/>
          <w14:ligatures w14:val="none"/>
        </w:rPr>
        <w:t>Dep’t</w:t>
      </w:r>
      <w:proofErr w:type="spellEnd"/>
      <w:r w:rsidRPr="000C012F">
        <w:rPr>
          <w:rFonts w:ascii="Times New Roman" w:eastAsia="Calibri" w:hAnsi="Times New Roman" w:cs="Times New Roman"/>
          <w:i/>
          <w:kern w:val="0"/>
          <w14:ligatures w14:val="none"/>
        </w:rPr>
        <w:t xml:space="preserve"> of Soc. Servs.</w:t>
      </w:r>
      <w:r w:rsidRPr="000C012F">
        <w:rPr>
          <w:rFonts w:ascii="Times New Roman" w:eastAsia="Calibri" w:hAnsi="Times New Roman" w:cs="Times New Roman"/>
          <w:kern w:val="0"/>
          <w14:ligatures w14:val="none"/>
        </w:rPr>
        <w:t xml:space="preserve">, 489 U.S. 189, 195-96 (1989), a state actor’s failure to protect “may give rise to a § 1983 claim under the state-created danger exception when the state affirmatively places the plaintiff in danger by acting with deliberate indifference to a known or obvious danger.” </w:t>
      </w:r>
      <w:r w:rsidRPr="000C012F">
        <w:rPr>
          <w:rFonts w:ascii="Times New Roman" w:eastAsia="Calibri" w:hAnsi="Times New Roman" w:cs="Times New Roman"/>
          <w:i/>
          <w:kern w:val="0"/>
          <w14:ligatures w14:val="none"/>
        </w:rPr>
        <w:t>Herrera v. Los Angeles Unified Sch. Dist.</w:t>
      </w:r>
      <w:r w:rsidRPr="000C012F">
        <w:rPr>
          <w:rFonts w:ascii="Times New Roman" w:eastAsia="Calibri" w:hAnsi="Times New Roman" w:cs="Times New Roman"/>
          <w:kern w:val="0"/>
          <w14:ligatures w14:val="none"/>
        </w:rPr>
        <w:t xml:space="preserve">, 18 F.4th 1156, 1158 (9th Cir. 2021) (internal quotation marks omitted). A state actor’s failure to protect may also create liability under § 1983 if the state “takes a person into its custody and holds him there against his will.” </w:t>
      </w:r>
      <w:proofErr w:type="spellStart"/>
      <w:r w:rsidRPr="000C012F">
        <w:rPr>
          <w:rFonts w:ascii="Times New Roman" w:eastAsia="Calibri" w:hAnsi="Times New Roman" w:cs="Times New Roman"/>
          <w:i/>
          <w:kern w:val="0"/>
          <w14:ligatures w14:val="none"/>
        </w:rPr>
        <w:t>DeShaney</w:t>
      </w:r>
      <w:proofErr w:type="spellEnd"/>
      <w:r w:rsidRPr="000C012F">
        <w:rPr>
          <w:rFonts w:ascii="Times New Roman" w:eastAsia="Calibri" w:hAnsi="Times New Roman" w:cs="Times New Roman"/>
          <w:kern w:val="0"/>
          <w14:ligatures w14:val="none"/>
        </w:rPr>
        <w:t xml:space="preserve">, 489 U.S. at 199-200 (“[T]he Constitution imposes upon [the state] a corresponding duty to assume some responsibility for his safety and general well-being.”). The types of custody giving rise to the duty to protect are “incarceration, institutionalization, or other similar restraint of personal liberty.” </w:t>
      </w:r>
      <w:r w:rsidRPr="000C012F">
        <w:rPr>
          <w:rFonts w:ascii="Times New Roman" w:eastAsia="Calibri" w:hAnsi="Times New Roman" w:cs="Times New Roman"/>
          <w:i/>
          <w:kern w:val="0"/>
          <w14:ligatures w14:val="none"/>
        </w:rPr>
        <w:t xml:space="preserve">Id. </w:t>
      </w:r>
      <w:r w:rsidRPr="000C012F">
        <w:rPr>
          <w:rFonts w:ascii="Times New Roman" w:eastAsia="Calibri" w:hAnsi="Times New Roman" w:cs="Times New Roman"/>
          <w:kern w:val="0"/>
          <w14:ligatures w14:val="none"/>
        </w:rPr>
        <w:t xml:space="preserve">at 200. </w:t>
      </w:r>
      <w:r w:rsidRPr="000C012F">
        <w:rPr>
          <w:rFonts w:ascii="Times New Roman" w:eastAsia="Calibri" w:hAnsi="Times New Roman" w:cs="Times New Roman"/>
          <w:kern w:val="0"/>
          <w:lang w:val="en-CA"/>
          <w14:ligatures w14:val="none"/>
        </w:rPr>
        <w:fldChar w:fldCharType="begin"/>
      </w:r>
      <w:r w:rsidRPr="000C012F">
        <w:rPr>
          <w:rFonts w:ascii="Times New Roman" w:eastAsia="Calibri" w:hAnsi="Times New Roman" w:cs="Times New Roman"/>
          <w:kern w:val="0"/>
          <w:lang w:val="en-CA"/>
          <w14:ligatures w14:val="none"/>
        </w:rPr>
        <w:instrText xml:space="preserve"> SEQ CHAPTER \h \r 1</w:instrText>
      </w:r>
      <w:r w:rsidRPr="000C012F">
        <w:rPr>
          <w:rFonts w:ascii="Times New Roman" w:eastAsia="Calibri" w:hAnsi="Times New Roman" w:cs="Times New Roman"/>
          <w:kern w:val="0"/>
          <w14:ligatures w14:val="none"/>
        </w:rPr>
        <w:fldChar w:fldCharType="end"/>
      </w:r>
      <w:r w:rsidRPr="000C012F">
        <w:rPr>
          <w:rFonts w:ascii="Times New Roman" w:eastAsia="Calibri" w:hAnsi="Times New Roman" w:cs="Times New Roman"/>
          <w:kern w:val="0"/>
          <w14:ligatures w14:val="none"/>
        </w:rPr>
        <w:t xml:space="preserve">The Ninth Circuit has clarified that “the only two exceptions to the general rule against failure-to-act liability for § 1983 claims presently recognized by this court are the special-relationship exception and the state-created danger exception.” </w:t>
      </w:r>
      <w:r w:rsidRPr="000C012F">
        <w:rPr>
          <w:rFonts w:ascii="Times New Roman" w:eastAsia="Calibri" w:hAnsi="Times New Roman" w:cs="Times New Roman"/>
          <w:i/>
          <w:kern w:val="0"/>
          <w14:ligatures w14:val="none"/>
        </w:rPr>
        <w:t>Murguia v. Langdon</w:t>
      </w:r>
      <w:r w:rsidRPr="000C012F">
        <w:rPr>
          <w:rFonts w:ascii="Times New Roman" w:eastAsia="Calibri" w:hAnsi="Times New Roman" w:cs="Times New Roman"/>
          <w:kern w:val="0"/>
          <w14:ligatures w14:val="none"/>
        </w:rPr>
        <w:t xml:space="preserve">, 61 F.4th 1096, 1108 (9th Cir. 2023) (“we make clear that the only two exceptions to the general rule against failure-to-act liability for § 1983 claims presently recognized by this court are the special-relationship exception and the state-created danger exception”); </w:t>
      </w:r>
      <w:r w:rsidRPr="000C012F">
        <w:rPr>
          <w:rFonts w:ascii="Times New Roman" w:eastAsia="Calibri" w:hAnsi="Times New Roman" w:cs="Times New Roman"/>
          <w:i/>
          <w:kern w:val="0"/>
          <w14:ligatures w14:val="none"/>
        </w:rPr>
        <w:t>Sinclair v. City of Seattle</w:t>
      </w:r>
      <w:r w:rsidRPr="000C012F">
        <w:rPr>
          <w:rFonts w:ascii="Times New Roman" w:eastAsia="Calibri" w:hAnsi="Times New Roman" w:cs="Times New Roman"/>
          <w:kern w:val="0"/>
          <w14:ligatures w14:val="none"/>
        </w:rPr>
        <w:t xml:space="preserve">, 61 F.4th 674, 684 (9th Cir. 2023) (stating that police abandoning a portion of the city to unchecked lawlessness is a “shocking contempt towards its promise to citizens” that “[t]here shall be maintained adequate police protection in each district of the City.” (quotations omitted)). “[T]he mere failure to perform a legally required act is [not] grounds for § 1983 liability based on a substantive due process violation.” </w:t>
      </w:r>
      <w:r w:rsidRPr="000C012F">
        <w:rPr>
          <w:rFonts w:ascii="Times New Roman" w:eastAsia="Calibri" w:hAnsi="Times New Roman" w:cs="Times New Roman"/>
          <w:i/>
          <w:kern w:val="0"/>
          <w14:ligatures w14:val="none"/>
        </w:rPr>
        <w:t>Murguia</w:t>
      </w:r>
      <w:r w:rsidRPr="000C012F">
        <w:rPr>
          <w:rFonts w:ascii="Times New Roman" w:eastAsia="Calibri" w:hAnsi="Times New Roman" w:cs="Times New Roman"/>
          <w:kern w:val="0"/>
          <w14:ligatures w14:val="none"/>
        </w:rPr>
        <w:t>, 61 F.4th at 1108.</w:t>
      </w:r>
    </w:p>
    <w:p w14:paraId="58CDC12B"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68787DBD"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The deliberate indifference standard as it applies in cases alleging a deprivation of a familial relationship is a subjective standard. For a defendant to act with deliberate indifference, he must “recognize the unreasonable risk and actually intend to expose the [victim] to such risks without regard to the consequences to the [victim].” </w:t>
      </w:r>
      <w:r w:rsidRPr="000C012F">
        <w:rPr>
          <w:rFonts w:ascii="Times New Roman" w:eastAsia="Calibri" w:hAnsi="Times New Roman" w:cs="Times New Roman"/>
          <w:i/>
          <w:kern w:val="0"/>
          <w14:ligatures w14:val="none"/>
        </w:rPr>
        <w:t>Herrera</w:t>
      </w:r>
      <w:r w:rsidRPr="000C012F">
        <w:rPr>
          <w:rFonts w:ascii="Times New Roman" w:eastAsia="Calibri" w:hAnsi="Times New Roman" w:cs="Times New Roman"/>
          <w:kern w:val="0"/>
          <w14:ligatures w14:val="none"/>
        </w:rPr>
        <w:t>, 18 F.4th at 1158</w:t>
      </w:r>
      <w:r w:rsidRPr="000C012F">
        <w:rPr>
          <w:rFonts w:ascii="Times New Roman" w:eastAsia="Calibri" w:hAnsi="Times New Roman" w:cs="Times New Roman"/>
          <w:i/>
          <w:kern w:val="0"/>
          <w14:ligatures w14:val="none"/>
        </w:rPr>
        <w:t xml:space="preserve"> </w:t>
      </w:r>
      <w:r w:rsidRPr="000C012F">
        <w:rPr>
          <w:rFonts w:ascii="Times New Roman" w:eastAsia="Calibri" w:hAnsi="Times New Roman" w:cs="Times New Roman"/>
          <w:kern w:val="0"/>
          <w14:ligatures w14:val="none"/>
        </w:rPr>
        <w:t xml:space="preserve">(internal quotation marks and brackets omitted). “Ultimately, a state actor needs to know that something is going to happen but ignore the risk and expose the [victim] to it.” </w:t>
      </w:r>
      <w:r w:rsidRPr="000C012F">
        <w:rPr>
          <w:rFonts w:ascii="Times New Roman" w:eastAsia="Calibri" w:hAnsi="Times New Roman" w:cs="Times New Roman"/>
          <w:i/>
          <w:kern w:val="0"/>
          <w14:ligatures w14:val="none"/>
        </w:rPr>
        <w:t xml:space="preserve">Id. </w:t>
      </w:r>
      <w:r w:rsidRPr="000C012F">
        <w:rPr>
          <w:rFonts w:ascii="Times New Roman" w:eastAsia="Calibri" w:hAnsi="Times New Roman" w:cs="Times New Roman"/>
          <w:kern w:val="0"/>
          <w14:ligatures w14:val="none"/>
        </w:rPr>
        <w:t xml:space="preserve">at 1158-59 (internal quotation marks and brackets omitted); </w:t>
      </w:r>
      <w:r w:rsidRPr="000C012F">
        <w:rPr>
          <w:rFonts w:ascii="Times New Roman" w:eastAsia="Calibri" w:hAnsi="Times New Roman" w:cs="Times New Roman"/>
          <w:i/>
          <w:kern w:val="0"/>
          <w14:ligatures w14:val="none"/>
        </w:rPr>
        <w:t>see</w:t>
      </w:r>
      <w:r w:rsidRPr="000C012F">
        <w:rPr>
          <w:rFonts w:ascii="Times New Roman" w:eastAsia="Calibri" w:hAnsi="Times New Roman" w:cs="Times New Roman"/>
          <w:kern w:val="0"/>
          <w14:ligatures w14:val="none"/>
        </w:rPr>
        <w:t xml:space="preserve">, </w:t>
      </w:r>
      <w:r w:rsidRPr="000C012F">
        <w:rPr>
          <w:rFonts w:ascii="Times New Roman" w:eastAsia="Calibri" w:hAnsi="Times New Roman" w:cs="Times New Roman"/>
          <w:i/>
          <w:kern w:val="0"/>
          <w14:ligatures w14:val="none"/>
        </w:rPr>
        <w:t>e.g.</w:t>
      </w:r>
      <w:r w:rsidRPr="000C012F">
        <w:rPr>
          <w:rFonts w:ascii="Times New Roman" w:eastAsia="Calibri" w:hAnsi="Times New Roman" w:cs="Times New Roman"/>
          <w:kern w:val="0"/>
          <w14:ligatures w14:val="none"/>
        </w:rPr>
        <w:t xml:space="preserve">, </w:t>
      </w:r>
      <w:r w:rsidRPr="000C012F">
        <w:rPr>
          <w:rFonts w:ascii="Times New Roman" w:eastAsia="Calibri" w:hAnsi="Times New Roman" w:cs="Times New Roman"/>
          <w:i/>
          <w:kern w:val="0"/>
          <w14:ligatures w14:val="none"/>
        </w:rPr>
        <w:t>Polanco v. Diaz</w:t>
      </w:r>
      <w:r w:rsidRPr="000C012F">
        <w:rPr>
          <w:rFonts w:ascii="Times New Roman" w:eastAsia="Calibri" w:hAnsi="Times New Roman" w:cs="Times New Roman"/>
          <w:kern w:val="0"/>
          <w14:ligatures w14:val="none"/>
        </w:rPr>
        <w:t xml:space="preserve">, 76 F.4th 918, 926-27 (9th Cir. 2023) (upholding claim of state-created danger by prison officials in a case arising from prison guard’s death from COVID-19 complications after 122 COVID ill inmates were transferred from another prison, placing decedent in a more dangerous position); </w:t>
      </w:r>
      <w:r w:rsidRPr="000C012F">
        <w:rPr>
          <w:rFonts w:ascii="Times New Roman" w:eastAsia="Calibri" w:hAnsi="Times New Roman" w:cs="Times New Roman"/>
          <w:i/>
          <w:kern w:val="0"/>
          <w14:ligatures w14:val="none"/>
        </w:rPr>
        <w:t>Murguia</w:t>
      </w:r>
      <w:r w:rsidRPr="000C012F">
        <w:rPr>
          <w:rFonts w:ascii="Times New Roman" w:eastAsia="Calibri" w:hAnsi="Times New Roman" w:cs="Times New Roman"/>
          <w:kern w:val="0"/>
          <w14:ligatures w14:val="none"/>
        </w:rPr>
        <w:t xml:space="preserve">, 61 F.4th at 1115-116 (determining that </w:t>
      </w:r>
      <w:proofErr w:type="spellStart"/>
      <w:r w:rsidRPr="000C012F">
        <w:rPr>
          <w:rFonts w:ascii="Times New Roman" w:eastAsia="Calibri" w:hAnsi="Times New Roman" w:cs="Times New Roman"/>
          <w:kern w:val="0"/>
          <w14:ligatures w14:val="none"/>
        </w:rPr>
        <w:t>father</w:t>
      </w:r>
      <w:proofErr w:type="spellEnd"/>
      <w:r w:rsidRPr="000C012F">
        <w:rPr>
          <w:rFonts w:ascii="Times New Roman" w:eastAsia="Calibri" w:hAnsi="Times New Roman" w:cs="Times New Roman"/>
          <w:kern w:val="0"/>
          <w14:ligatures w14:val="none"/>
        </w:rPr>
        <w:t xml:space="preserve"> stated a plausible claim against a social worker for subjective deliberate indifference under the state-created danger theory by alleging that social worker was aware of mother’s history of violence and mental health issues, including multiple specific instances of physical violence against her own family members, but falsely represented to police sergeant that mother was homeless and had no criminal history or history of child abuse); </w:t>
      </w:r>
      <w:r w:rsidRPr="000C012F">
        <w:rPr>
          <w:rFonts w:ascii="Times New Roman" w:eastAsia="Calibri" w:hAnsi="Times New Roman" w:cs="Times New Roman"/>
          <w:i/>
          <w:kern w:val="0"/>
          <w14:ligatures w14:val="none"/>
        </w:rPr>
        <w:t>Sinclair</w:t>
      </w:r>
      <w:r w:rsidRPr="000C012F">
        <w:rPr>
          <w:rFonts w:ascii="Times New Roman" w:eastAsia="Calibri" w:hAnsi="Times New Roman" w:cs="Times New Roman"/>
          <w:kern w:val="0"/>
          <w14:ligatures w14:val="none"/>
        </w:rPr>
        <w:t xml:space="preserve">, 61 F.4th at 674 (explaining the danger of uncontrolled lawlessness allegedly created by the city’s decision to withdraw law enforcement from neighborhood and surrender it to protestors was not sufficiently particularized to support mother’s claim that city’s actions deprived her of her substantive due </w:t>
      </w:r>
      <w:r w:rsidRPr="000C012F">
        <w:rPr>
          <w:rFonts w:ascii="Times New Roman" w:eastAsia="Calibri" w:hAnsi="Times New Roman" w:cs="Times New Roman"/>
          <w:kern w:val="0"/>
          <w14:ligatures w14:val="none"/>
        </w:rPr>
        <w:lastRenderedPageBreak/>
        <w:t>process right to companionship of son pursuant to state-created danger doctrine because it was a generalized danger experienced by all members of the public).</w:t>
      </w:r>
    </w:p>
    <w:p w14:paraId="717CA3CF"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55A52878"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r>
      <w:r w:rsidRPr="000C012F">
        <w:rPr>
          <w:rFonts w:ascii="Times New Roman" w:eastAsia="Calibri" w:hAnsi="Times New Roman" w:cs="Times New Roman"/>
          <w:i/>
          <w:kern w:val="0"/>
          <w14:ligatures w14:val="none"/>
        </w:rPr>
        <w:t>Herrera</w:t>
      </w:r>
      <w:r w:rsidRPr="000C012F">
        <w:rPr>
          <w:rFonts w:ascii="Times New Roman" w:eastAsia="Calibri" w:hAnsi="Times New Roman" w:cs="Times New Roman"/>
          <w:kern w:val="0"/>
          <w14:ligatures w14:val="none"/>
        </w:rPr>
        <w:t xml:space="preserve"> shows how the subjective standard applies to a parent’s claim for deprivation of familial relationship. In </w:t>
      </w:r>
      <w:r w:rsidRPr="000C012F">
        <w:rPr>
          <w:rFonts w:ascii="Times New Roman" w:eastAsia="Calibri" w:hAnsi="Times New Roman" w:cs="Times New Roman"/>
          <w:i/>
          <w:kern w:val="0"/>
          <w14:ligatures w14:val="none"/>
        </w:rPr>
        <w:t>Herrera</w:t>
      </w:r>
      <w:r w:rsidRPr="000C012F">
        <w:rPr>
          <w:rFonts w:ascii="Times New Roman" w:eastAsia="Calibri" w:hAnsi="Times New Roman" w:cs="Times New Roman"/>
          <w:kern w:val="0"/>
          <w14:ligatures w14:val="none"/>
        </w:rPr>
        <w:t xml:space="preserve">, parents claimed that a school aide’s failure to protect their autistic child from drowning in a park swimming pool during a school outing was actionable under the state-created danger </w:t>
      </w:r>
      <w:proofErr w:type="gramStart"/>
      <w:r w:rsidRPr="000C012F">
        <w:rPr>
          <w:rFonts w:ascii="Times New Roman" w:eastAsia="Calibri" w:hAnsi="Times New Roman" w:cs="Times New Roman"/>
          <w:kern w:val="0"/>
          <w14:ligatures w14:val="none"/>
        </w:rPr>
        <w:t>exception, and</w:t>
      </w:r>
      <w:proofErr w:type="gramEnd"/>
      <w:r w:rsidRPr="000C012F">
        <w:rPr>
          <w:rFonts w:ascii="Times New Roman" w:eastAsia="Calibri" w:hAnsi="Times New Roman" w:cs="Times New Roman"/>
          <w:kern w:val="0"/>
          <w14:ligatures w14:val="none"/>
        </w:rPr>
        <w:t xml:space="preserve"> gave rise to a § 1983 claim for deprivation of a parent-child relationship in violation of the Fourteenth Amendment. </w:t>
      </w:r>
      <w:r w:rsidRPr="000C012F">
        <w:rPr>
          <w:rFonts w:ascii="Times New Roman" w:eastAsia="Calibri" w:hAnsi="Times New Roman" w:cs="Times New Roman"/>
          <w:i/>
          <w:kern w:val="0"/>
          <w14:ligatures w14:val="none"/>
        </w:rPr>
        <w:t xml:space="preserve">See </w:t>
      </w:r>
      <w:r w:rsidRPr="000C012F">
        <w:rPr>
          <w:rFonts w:ascii="Times New Roman" w:eastAsia="Calibri" w:hAnsi="Times New Roman" w:cs="Times New Roman"/>
          <w:kern w:val="0"/>
          <w14:ligatures w14:val="none"/>
        </w:rPr>
        <w:t>18 F.4th</w:t>
      </w:r>
      <w:r w:rsidRPr="000C012F">
        <w:rPr>
          <w:rFonts w:ascii="Times New Roman" w:eastAsia="Calibri" w:hAnsi="Times New Roman" w:cs="Times New Roman"/>
          <w:i/>
          <w:kern w:val="0"/>
          <w14:ligatures w14:val="none"/>
        </w:rPr>
        <w:t xml:space="preserve"> </w:t>
      </w:r>
      <w:r w:rsidRPr="000C012F">
        <w:rPr>
          <w:rFonts w:ascii="Times New Roman" w:eastAsia="Calibri" w:hAnsi="Times New Roman" w:cs="Times New Roman"/>
          <w:kern w:val="0"/>
          <w14:ligatures w14:val="none"/>
        </w:rPr>
        <w:t xml:space="preserve">at 1161. The Ninth Circuit held that the school aide had not acted with deliberate indifference because he was unaware of any immediate danger to the child (mistakenly thinking the child was in the locker room rather than in the pool), and there was therefore no evidence that the aide subjectively recognized the risk to the child. </w:t>
      </w:r>
      <w:r w:rsidRPr="000C012F">
        <w:rPr>
          <w:rFonts w:ascii="Times New Roman" w:eastAsia="Calibri" w:hAnsi="Times New Roman" w:cs="Times New Roman"/>
          <w:i/>
          <w:kern w:val="0"/>
          <w14:ligatures w14:val="none"/>
        </w:rPr>
        <w:t xml:space="preserve">See id. </w:t>
      </w:r>
      <w:r w:rsidRPr="000C012F">
        <w:rPr>
          <w:rFonts w:ascii="Times New Roman" w:eastAsia="Calibri" w:hAnsi="Times New Roman" w:cs="Times New Roman"/>
          <w:kern w:val="0"/>
          <w14:ligatures w14:val="none"/>
        </w:rPr>
        <w:t xml:space="preserve">at 1162. Accordingly, no reasonable jury could conclude that the parents’ Fourteenth Amendment rights were violated. </w:t>
      </w:r>
      <w:r w:rsidRPr="000C012F">
        <w:rPr>
          <w:rFonts w:ascii="Times New Roman" w:eastAsia="Calibri" w:hAnsi="Times New Roman" w:cs="Times New Roman"/>
          <w:i/>
          <w:kern w:val="0"/>
          <w14:ligatures w14:val="none"/>
        </w:rPr>
        <w:t>See id.</w:t>
      </w:r>
      <w:r w:rsidRPr="000C012F">
        <w:rPr>
          <w:rFonts w:ascii="Times New Roman" w:eastAsia="Calibri" w:hAnsi="Times New Roman" w:cs="Times New Roman"/>
          <w:kern w:val="0"/>
          <w14:ligatures w14:val="none"/>
        </w:rPr>
        <w:t xml:space="preserve">; </w:t>
      </w:r>
      <w:r w:rsidRPr="000C012F">
        <w:rPr>
          <w:rFonts w:ascii="Times New Roman" w:eastAsia="Calibri" w:hAnsi="Times New Roman" w:cs="Times New Roman"/>
          <w:i/>
          <w:kern w:val="0"/>
          <w14:ligatures w14:val="none"/>
        </w:rPr>
        <w:t>see also Patel v. Kent Sch. Dist.</w:t>
      </w:r>
      <w:r w:rsidRPr="000C012F">
        <w:rPr>
          <w:rFonts w:ascii="Times New Roman" w:eastAsia="Calibri" w:hAnsi="Times New Roman" w:cs="Times New Roman"/>
          <w:kern w:val="0"/>
          <w14:ligatures w14:val="none"/>
        </w:rPr>
        <w:t>, 648 F.3d 965, 971–72 (9th Cir. 2011) (holding that schoolteacher did not violate student’s Fourteenth Amendment rights by failing to protect the student from having sex with another student in restroom, because there was no proof that teacher knew about any immediate risk).</w:t>
      </w:r>
    </w:p>
    <w:p w14:paraId="3C0E6F91"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10DADDB4" w14:textId="77777777" w:rsidR="000C012F" w:rsidRPr="000C012F" w:rsidRDefault="000C012F" w:rsidP="000C012F">
      <w:pPr>
        <w:autoSpaceDE w:val="0"/>
        <w:autoSpaceDN w:val="0"/>
        <w:adjustRightInd w:val="0"/>
        <w:spacing w:after="0" w:line="240" w:lineRule="auto"/>
        <w:ind w:firstLine="720"/>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 xml:space="preserve">Pretrial detainees have a Fourteenth Amendment due process right “to be free from violence from other inmates.” </w:t>
      </w:r>
      <w:r w:rsidRPr="000C012F">
        <w:rPr>
          <w:rFonts w:ascii="Times New Roman" w:eastAsia="Calibri" w:hAnsi="Times New Roman" w:cs="Times New Roman"/>
          <w:i/>
          <w:iCs/>
          <w:kern w:val="0"/>
          <w14:ligatures w14:val="none"/>
        </w:rPr>
        <w:t>Castro v. County of Los Angeles</w:t>
      </w:r>
      <w:r w:rsidRPr="000C012F">
        <w:rPr>
          <w:rFonts w:ascii="Times New Roman" w:eastAsia="Calibri" w:hAnsi="Times New Roman" w:cs="Times New Roman"/>
          <w:kern w:val="0"/>
          <w14:ligatures w14:val="none"/>
        </w:rPr>
        <w:t>, 833 F.3d 1060, 1067 (9th Cir. 2016) (</w:t>
      </w:r>
      <w:proofErr w:type="spellStart"/>
      <w:r w:rsidRPr="000C012F">
        <w:rPr>
          <w:rFonts w:ascii="Times New Roman" w:eastAsia="Calibri" w:hAnsi="Times New Roman" w:cs="Times New Roman"/>
          <w:kern w:val="0"/>
          <w14:ligatures w14:val="none"/>
        </w:rPr>
        <w:t>en</w:t>
      </w:r>
      <w:proofErr w:type="spellEnd"/>
      <w:r w:rsidRPr="000C012F">
        <w:rPr>
          <w:rFonts w:ascii="Times New Roman" w:eastAsia="Calibri" w:hAnsi="Times New Roman" w:cs="Times New Roman"/>
          <w:kern w:val="0"/>
          <w14:ligatures w14:val="none"/>
        </w:rPr>
        <w:t xml:space="preserve"> banc). In cases where the victim is a detainee and the plaintiff is the victim or the victim’s estate, the Ninth Circuit has applied an objective standard for the deliberate indifference inquiry. </w:t>
      </w:r>
      <w:r w:rsidRPr="000C012F">
        <w:rPr>
          <w:rFonts w:ascii="Times New Roman" w:eastAsia="Calibri" w:hAnsi="Times New Roman" w:cs="Times New Roman"/>
          <w:i/>
          <w:iCs/>
          <w:kern w:val="0"/>
          <w14:ligatures w14:val="none"/>
        </w:rPr>
        <w:t>Castro</w:t>
      </w:r>
      <w:r w:rsidRPr="000C012F">
        <w:rPr>
          <w:rFonts w:ascii="Times New Roman" w:eastAsia="Calibri" w:hAnsi="Times New Roman" w:cs="Times New Roman"/>
          <w:kern w:val="0"/>
          <w14:ligatures w14:val="none"/>
        </w:rPr>
        <w:t xml:space="preserve">, 833 F.3d at 1070-71. Under the objective standard, a pretrial detainee can maintain a Fourteenth Amendment claim by proving the conduct was objectively unreasonable. </w:t>
      </w:r>
      <w:r w:rsidRPr="000C012F">
        <w:rPr>
          <w:rFonts w:ascii="Times New Roman" w:eastAsia="Calibri" w:hAnsi="Times New Roman" w:cs="Times New Roman"/>
          <w:i/>
          <w:iCs/>
          <w:kern w:val="0"/>
          <w14:ligatures w14:val="none"/>
        </w:rPr>
        <w:t xml:space="preserve">See id. </w:t>
      </w:r>
      <w:r w:rsidRPr="000C012F">
        <w:rPr>
          <w:rFonts w:ascii="Times New Roman" w:eastAsia="Calibri" w:hAnsi="Times New Roman" w:cs="Times New Roman"/>
          <w:kern w:val="0"/>
          <w14:ligatures w14:val="none"/>
        </w:rPr>
        <w:t xml:space="preserve">at 1071. The objective standard has been extended to cases where the detainee is in an immigration facility, </w:t>
      </w:r>
      <w:r w:rsidRPr="000C012F">
        <w:rPr>
          <w:rFonts w:ascii="Times New Roman" w:eastAsia="Calibri" w:hAnsi="Times New Roman" w:cs="Times New Roman"/>
          <w:i/>
          <w:iCs/>
          <w:kern w:val="0"/>
          <w14:ligatures w14:val="none"/>
        </w:rPr>
        <w:t>see Roman v. Wolf</w:t>
      </w:r>
      <w:r w:rsidRPr="000C012F">
        <w:rPr>
          <w:rFonts w:ascii="Times New Roman" w:eastAsia="Calibri" w:hAnsi="Times New Roman" w:cs="Times New Roman"/>
          <w:kern w:val="0"/>
          <w14:ligatures w14:val="none"/>
        </w:rPr>
        <w:t xml:space="preserve">, 977 F.3d 935, 943 (9th Cir. 2020) (per </w:t>
      </w:r>
      <w:proofErr w:type="spellStart"/>
      <w:r w:rsidRPr="000C012F">
        <w:rPr>
          <w:rFonts w:ascii="Times New Roman" w:eastAsia="Calibri" w:hAnsi="Times New Roman" w:cs="Times New Roman"/>
          <w:kern w:val="0"/>
          <w14:ligatures w14:val="none"/>
        </w:rPr>
        <w:t>curiam</w:t>
      </w:r>
      <w:proofErr w:type="spellEnd"/>
      <w:r w:rsidRPr="000C012F">
        <w:rPr>
          <w:rFonts w:ascii="Times New Roman" w:eastAsia="Calibri" w:hAnsi="Times New Roman" w:cs="Times New Roman"/>
          <w:kern w:val="0"/>
          <w14:ligatures w14:val="none"/>
        </w:rPr>
        <w:t xml:space="preserve">), and where the detainee alleges that state officials failed to provide medical care, </w:t>
      </w:r>
      <w:r w:rsidRPr="000C012F">
        <w:rPr>
          <w:rFonts w:ascii="Times New Roman" w:eastAsia="Calibri" w:hAnsi="Times New Roman" w:cs="Times New Roman"/>
          <w:i/>
          <w:iCs/>
          <w:kern w:val="0"/>
          <w14:ligatures w14:val="none"/>
        </w:rPr>
        <w:t>see Gordon v. County of Orange</w:t>
      </w:r>
      <w:r w:rsidRPr="000C012F">
        <w:rPr>
          <w:rFonts w:ascii="Times New Roman" w:eastAsia="Calibri" w:hAnsi="Times New Roman" w:cs="Times New Roman"/>
          <w:kern w:val="0"/>
          <w14:ligatures w14:val="none"/>
        </w:rPr>
        <w:t>, 888 F.3d 1118, 1122-24 (9th Cir. 2018). See Instructions 9.29 (Particular Rights—Fourteenth Amendment—Pretrial Detainee’s Claim of Excessive Force), 9.30 (Particular Rights—Fourteenth Amendment— Pretrial Detainee’s Claim re Conditions of Confinement/Medical Care), 9.31 (Particular Rights—Fourteenth Amendment—Pretrial Detainee’s Claim of Failure to Protect), and 9.32A (Particular Rights—Fourteenth Amendment—Due Process—Civil Commitment).</w:t>
      </w:r>
    </w:p>
    <w:p w14:paraId="3777F591" w14:textId="77777777" w:rsidR="000C012F" w:rsidRPr="000C012F" w:rsidRDefault="000C012F" w:rsidP="000C012F">
      <w:pPr>
        <w:autoSpaceDE w:val="0"/>
        <w:autoSpaceDN w:val="0"/>
        <w:adjustRightInd w:val="0"/>
        <w:spacing w:after="0" w:line="240" w:lineRule="auto"/>
        <w:rPr>
          <w:rFonts w:ascii="Times New Roman" w:eastAsia="Calibri" w:hAnsi="Times New Roman" w:cs="Times New Roman"/>
          <w:kern w:val="0"/>
          <w14:ligatures w14:val="none"/>
        </w:rPr>
      </w:pPr>
    </w:p>
    <w:p w14:paraId="101497D7" w14:textId="77777777" w:rsidR="000C012F" w:rsidRPr="000C012F" w:rsidRDefault="000C012F" w:rsidP="000C012F">
      <w:pPr>
        <w:spacing w:after="0" w:line="240" w:lineRule="auto"/>
        <w:rPr>
          <w:rFonts w:ascii="Times New Roman" w:eastAsia="Calibri" w:hAnsi="Times New Roman" w:cs="Times New Roman"/>
          <w:kern w:val="0"/>
          <w14:ligatures w14:val="none"/>
        </w:rPr>
      </w:pPr>
      <w:r w:rsidRPr="000C012F">
        <w:rPr>
          <w:rFonts w:ascii="Times New Roman" w:eastAsia="Calibri" w:hAnsi="Times New Roman" w:cs="Times New Roman"/>
          <w:kern w:val="0"/>
          <w14:ligatures w14:val="none"/>
        </w:rPr>
        <w:tab/>
        <w:t xml:space="preserve">In considering whether the objective or subjective standard applied, </w:t>
      </w:r>
      <w:r w:rsidRPr="000C012F">
        <w:rPr>
          <w:rFonts w:ascii="Times New Roman" w:eastAsia="Calibri" w:hAnsi="Times New Roman" w:cs="Times New Roman"/>
          <w:i/>
          <w:kern w:val="0"/>
          <w14:ligatures w14:val="none"/>
        </w:rPr>
        <w:t>Herrera</w:t>
      </w:r>
      <w:r w:rsidRPr="000C012F">
        <w:rPr>
          <w:rFonts w:ascii="Times New Roman" w:eastAsia="Calibri" w:hAnsi="Times New Roman" w:cs="Times New Roman"/>
          <w:kern w:val="0"/>
          <w14:ligatures w14:val="none"/>
        </w:rPr>
        <w:t xml:space="preserve"> discussed the objective standard as applied in </w:t>
      </w:r>
      <w:r w:rsidRPr="000C012F">
        <w:rPr>
          <w:rFonts w:ascii="Times New Roman" w:eastAsia="Calibri" w:hAnsi="Times New Roman" w:cs="Times New Roman"/>
          <w:i/>
          <w:kern w:val="0"/>
          <w14:ligatures w14:val="none"/>
        </w:rPr>
        <w:t xml:space="preserve">Castro </w:t>
      </w:r>
      <w:r w:rsidRPr="000C012F">
        <w:rPr>
          <w:rFonts w:ascii="Times New Roman" w:eastAsia="Calibri" w:hAnsi="Times New Roman" w:cs="Times New Roman"/>
          <w:kern w:val="0"/>
          <w14:ligatures w14:val="none"/>
        </w:rPr>
        <w:t xml:space="preserve">and its </w:t>
      </w:r>
      <w:proofErr w:type="gramStart"/>
      <w:r w:rsidRPr="000C012F">
        <w:rPr>
          <w:rFonts w:ascii="Times New Roman" w:eastAsia="Calibri" w:hAnsi="Times New Roman" w:cs="Times New Roman"/>
          <w:kern w:val="0"/>
          <w14:ligatures w14:val="none"/>
        </w:rPr>
        <w:t>progeny, but</w:t>
      </w:r>
      <w:proofErr w:type="gramEnd"/>
      <w:r w:rsidRPr="000C012F">
        <w:rPr>
          <w:rFonts w:ascii="Times New Roman" w:eastAsia="Calibri" w:hAnsi="Times New Roman" w:cs="Times New Roman"/>
          <w:kern w:val="0"/>
          <w14:ligatures w14:val="none"/>
        </w:rPr>
        <w:t xml:space="preserve"> concluded that the subjective standard for deliberate indifference applied because the victim in the case was not a detainee. </w:t>
      </w:r>
      <w:r w:rsidRPr="000C012F">
        <w:rPr>
          <w:rFonts w:ascii="Times New Roman" w:eastAsia="Calibri" w:hAnsi="Times New Roman" w:cs="Times New Roman"/>
          <w:i/>
          <w:kern w:val="0"/>
          <w14:ligatures w14:val="none"/>
        </w:rPr>
        <w:t xml:space="preserve">See </w:t>
      </w:r>
      <w:r w:rsidRPr="000C012F">
        <w:rPr>
          <w:rFonts w:ascii="Times New Roman" w:eastAsia="Calibri" w:hAnsi="Times New Roman" w:cs="Times New Roman"/>
          <w:kern w:val="0"/>
          <w14:ligatures w14:val="none"/>
        </w:rPr>
        <w:t xml:space="preserve">18 F.4th at 1160 (“Erick was not detained at the time of his death . . . . We therefore apply a purely subjective standard, consistent with our precedent, requiring the plaintiff to show that the state actor recognized an unreasonable risk and actually intended to expose the plaintiff to such risk.”). </w:t>
      </w:r>
      <w:r w:rsidRPr="000C012F">
        <w:rPr>
          <w:rFonts w:ascii="Times New Roman" w:eastAsia="Calibri" w:hAnsi="Times New Roman" w:cs="Times New Roman"/>
          <w:i/>
          <w:iCs/>
          <w:kern w:val="0"/>
          <w14:ligatures w14:val="none"/>
        </w:rPr>
        <w:t>Herrera</w:t>
      </w:r>
      <w:r w:rsidRPr="000C012F">
        <w:rPr>
          <w:rFonts w:ascii="Times New Roman" w:eastAsia="Calibri" w:hAnsi="Times New Roman" w:cs="Times New Roman"/>
          <w:kern w:val="0"/>
          <w14:ligatures w14:val="none"/>
        </w:rPr>
        <w:t xml:space="preserve">’s analysis suggests that the objective standard applies in a case alleging a deprivation of familial association when the victim is a detainee. However, the Ninth Circuit has not squarely addressed that question. </w:t>
      </w:r>
    </w:p>
    <w:p w14:paraId="0111D69F" w14:textId="77777777" w:rsidR="000C012F" w:rsidRPr="000C012F" w:rsidRDefault="000C012F" w:rsidP="000C012F">
      <w:pPr>
        <w:spacing w:after="0" w:line="240" w:lineRule="auto"/>
        <w:rPr>
          <w:rFonts w:ascii="Times New Roman" w:eastAsia="Calibri" w:hAnsi="Times New Roman" w:cs="Times New Roman"/>
          <w:kern w:val="0"/>
          <w14:ligatures w14:val="none"/>
        </w:rPr>
      </w:pPr>
    </w:p>
    <w:p w14:paraId="24633821" w14:textId="50E23CA4" w:rsidR="000C012F" w:rsidRPr="000C012F" w:rsidRDefault="000C012F" w:rsidP="000C012F">
      <w:pPr>
        <w:spacing w:after="0" w:line="240" w:lineRule="auto"/>
        <w:jc w:val="right"/>
        <w:rPr>
          <w:rFonts w:ascii="Times New Roman" w:eastAsia="Calibri" w:hAnsi="Times New Roman" w:cs="Times New Roman"/>
          <w:kern w:val="0"/>
          <w14:ligatures w14:val="none"/>
        </w:rPr>
      </w:pPr>
      <w:r w:rsidRPr="000C012F">
        <w:rPr>
          <w:rFonts w:ascii="Times New Roman" w:eastAsia="Calibri" w:hAnsi="Times New Roman" w:cs="Times New Roman"/>
          <w:i/>
          <w:iCs/>
          <w:kern w:val="0"/>
          <w14:ligatures w14:val="none"/>
        </w:rPr>
        <w:t xml:space="preserve">Revised </w:t>
      </w:r>
      <w:r>
        <w:rPr>
          <w:rFonts w:ascii="Times New Roman" w:eastAsia="Calibri" w:hAnsi="Times New Roman" w:cs="Times New Roman"/>
          <w:i/>
          <w:iCs/>
          <w:kern w:val="0"/>
          <w14:ligatures w14:val="none"/>
        </w:rPr>
        <w:t>September</w:t>
      </w:r>
      <w:r w:rsidRPr="000C012F">
        <w:rPr>
          <w:rFonts w:ascii="Times New Roman" w:eastAsia="Calibri" w:hAnsi="Times New Roman" w:cs="Times New Roman"/>
          <w:i/>
          <w:iCs/>
          <w:kern w:val="0"/>
          <w14:ligatures w14:val="none"/>
        </w:rPr>
        <w:t xml:space="preserve"> 2025</w:t>
      </w:r>
    </w:p>
    <w:p w14:paraId="1FF16287"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D7C48"/>
    <w:multiLevelType w:val="hybridMultilevel"/>
    <w:tmpl w:val="F4E82B84"/>
    <w:lvl w:ilvl="0" w:tplc="CD688B76">
      <w:start w:val="1"/>
      <w:numFmt w:val="decimal"/>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EEB716F"/>
    <w:multiLevelType w:val="hybridMultilevel"/>
    <w:tmpl w:val="C8F4E2BE"/>
    <w:lvl w:ilvl="0" w:tplc="99F82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473959">
    <w:abstractNumId w:val="1"/>
  </w:num>
  <w:num w:numId="2" w16cid:durableId="141342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2F"/>
    <w:rsid w:val="000C012F"/>
    <w:rsid w:val="00147419"/>
    <w:rsid w:val="001C1B18"/>
    <w:rsid w:val="0042339F"/>
    <w:rsid w:val="007A64D2"/>
    <w:rsid w:val="007E0761"/>
    <w:rsid w:val="00920AE5"/>
    <w:rsid w:val="00B07617"/>
    <w:rsid w:val="00B951E2"/>
    <w:rsid w:val="00C36D00"/>
    <w:rsid w:val="00D04691"/>
    <w:rsid w:val="00D54CA4"/>
    <w:rsid w:val="00DA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E486"/>
  <w15:chartTrackingRefBased/>
  <w15:docId w15:val="{6BDD83E5-B196-472C-AFA4-DCBBF378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12F"/>
    <w:rPr>
      <w:rFonts w:eastAsiaTheme="majorEastAsia" w:cstheme="majorBidi"/>
      <w:color w:val="272727" w:themeColor="text1" w:themeTint="D8"/>
    </w:rPr>
  </w:style>
  <w:style w:type="paragraph" w:styleId="Title">
    <w:name w:val="Title"/>
    <w:basedOn w:val="Normal"/>
    <w:next w:val="Normal"/>
    <w:link w:val="TitleChar"/>
    <w:uiPriority w:val="10"/>
    <w:qFormat/>
    <w:rsid w:val="000C0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12F"/>
    <w:pPr>
      <w:spacing w:before="160"/>
      <w:jc w:val="center"/>
    </w:pPr>
    <w:rPr>
      <w:i/>
      <w:iCs/>
      <w:color w:val="404040" w:themeColor="text1" w:themeTint="BF"/>
    </w:rPr>
  </w:style>
  <w:style w:type="character" w:customStyle="1" w:styleId="QuoteChar">
    <w:name w:val="Quote Char"/>
    <w:basedOn w:val="DefaultParagraphFont"/>
    <w:link w:val="Quote"/>
    <w:uiPriority w:val="29"/>
    <w:rsid w:val="000C012F"/>
    <w:rPr>
      <w:i/>
      <w:iCs/>
      <w:color w:val="404040" w:themeColor="text1" w:themeTint="BF"/>
    </w:rPr>
  </w:style>
  <w:style w:type="paragraph" w:styleId="ListParagraph">
    <w:name w:val="List Paragraph"/>
    <w:basedOn w:val="Normal"/>
    <w:uiPriority w:val="34"/>
    <w:qFormat/>
    <w:rsid w:val="000C012F"/>
    <w:pPr>
      <w:ind w:left="720"/>
      <w:contextualSpacing/>
    </w:pPr>
  </w:style>
  <w:style w:type="character" w:styleId="IntenseEmphasis">
    <w:name w:val="Intense Emphasis"/>
    <w:basedOn w:val="DefaultParagraphFont"/>
    <w:uiPriority w:val="21"/>
    <w:qFormat/>
    <w:rsid w:val="000C012F"/>
    <w:rPr>
      <w:i/>
      <w:iCs/>
      <w:color w:val="0F4761" w:themeColor="accent1" w:themeShade="BF"/>
    </w:rPr>
  </w:style>
  <w:style w:type="paragraph" w:styleId="IntenseQuote">
    <w:name w:val="Intense Quote"/>
    <w:basedOn w:val="Normal"/>
    <w:next w:val="Normal"/>
    <w:link w:val="IntenseQuoteChar"/>
    <w:uiPriority w:val="30"/>
    <w:qFormat/>
    <w:rsid w:val="000C0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12F"/>
    <w:rPr>
      <w:i/>
      <w:iCs/>
      <w:color w:val="0F4761" w:themeColor="accent1" w:themeShade="BF"/>
    </w:rPr>
  </w:style>
  <w:style w:type="character" w:styleId="IntenseReference">
    <w:name w:val="Intense Reference"/>
    <w:basedOn w:val="DefaultParagraphFont"/>
    <w:uiPriority w:val="32"/>
    <w:qFormat/>
    <w:rsid w:val="000C012F"/>
    <w:rPr>
      <w:b/>
      <w:bCs/>
      <w:smallCaps/>
      <w:color w:val="0F4761" w:themeColor="accent1" w:themeShade="BF"/>
      <w:spacing w:val="5"/>
    </w:rPr>
  </w:style>
  <w:style w:type="paragraph" w:styleId="Revision">
    <w:name w:val="Revision"/>
    <w:hidden/>
    <w:uiPriority w:val="99"/>
    <w:semiHidden/>
    <w:rsid w:val="000C0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3847</Words>
  <Characters>21931</Characters>
  <Application>Microsoft Office Word</Application>
  <DocSecurity>0</DocSecurity>
  <Lines>182</Lines>
  <Paragraphs>51</Paragraphs>
  <ScaleCrop>false</ScaleCrop>
  <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Samriddhi Rana</cp:lastModifiedBy>
  <cp:revision>3</cp:revision>
  <dcterms:created xsi:type="dcterms:W3CDTF">2025-10-10T17:42:00Z</dcterms:created>
  <dcterms:modified xsi:type="dcterms:W3CDTF">2025-11-10T06:30:00Z</dcterms:modified>
</cp:coreProperties>
</file>