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3AF9" w14:textId="77777777" w:rsidR="00597AE0" w:rsidRPr="004913BA" w:rsidRDefault="00597AE0" w:rsidP="00597AE0">
      <w:pPr>
        <w:pStyle w:val="Heading1"/>
      </w:pPr>
      <w:bookmarkStart w:id="0" w:name="_Toc167357283"/>
      <w:bookmarkStart w:id="1" w:name="_Toc184822678"/>
      <w:r w:rsidRPr="004913BA">
        <w:t>9.33A Particular Rights—Fourteenth Amendment—Due Process—</w:t>
      </w:r>
      <w:r w:rsidRPr="004913BA">
        <w:br/>
        <w:t>Deliberate or Reckless Suppression of Evidence</w:t>
      </w:r>
      <w:bookmarkEnd w:id="0"/>
      <w:bookmarkEnd w:id="1"/>
    </w:p>
    <w:p w14:paraId="38A86608" w14:textId="77777777" w:rsidR="00597AE0" w:rsidRPr="004913BA" w:rsidRDefault="00597AE0" w:rsidP="00597AE0">
      <w:pPr>
        <w:autoSpaceDE w:val="0"/>
        <w:autoSpaceDN w:val="0"/>
        <w:adjustRightInd w:val="0"/>
        <w:jc w:val="center"/>
      </w:pPr>
    </w:p>
    <w:p w14:paraId="2F5F1940" w14:textId="77777777" w:rsidR="00597AE0" w:rsidRPr="004913BA" w:rsidRDefault="00597AE0" w:rsidP="00597AE0">
      <w:pPr>
        <w:autoSpaceDE w:val="0"/>
        <w:autoSpaceDN w:val="0"/>
        <w:adjustRightInd w:val="0"/>
      </w:pPr>
      <w:r w:rsidRPr="004913BA">
        <w:tab/>
        <w:t>As previously explained, the plaintiff has the burden of proving that the [act[s]] [failure to act] of the defendant deprived the plaintiff of particular rights under the United States Constitution. The Fourteenth Amendment protects against a person being subjected to a criminal trial when favorable evidence has been deliberately or recklessly withheld from the prosecutor. In this case, the plaintiff alleges the defendant deprived [him] [her] [</w:t>
      </w:r>
      <w:r w:rsidRPr="00FC46FC">
        <w:t>other pronoun</w:t>
      </w:r>
      <w:r w:rsidRPr="004913BA">
        <w:t>] of [his] [her] [</w:t>
      </w:r>
      <w:r w:rsidRPr="00FC46FC">
        <w:t>other pronoun</w:t>
      </w:r>
      <w:r w:rsidRPr="004913BA">
        <w:t>] rights under the Fourteenth Amendment to the Constitution when [</w:t>
      </w:r>
      <w:r w:rsidRPr="004913BA">
        <w:rPr>
          <w:i/>
          <w:u w:val="single"/>
        </w:rPr>
        <w:t>insert factual basis of the plaintiff’s claim</w:t>
      </w:r>
      <w:r w:rsidRPr="004913BA">
        <w:t>].</w:t>
      </w:r>
    </w:p>
    <w:p w14:paraId="6E5865A4" w14:textId="77777777" w:rsidR="00597AE0" w:rsidRPr="004913BA" w:rsidRDefault="00597AE0" w:rsidP="00597AE0">
      <w:pPr>
        <w:autoSpaceDE w:val="0"/>
        <w:autoSpaceDN w:val="0"/>
        <w:adjustRightInd w:val="0"/>
      </w:pPr>
    </w:p>
    <w:p w14:paraId="50404A06" w14:textId="77777777" w:rsidR="00597AE0" w:rsidRPr="004913BA" w:rsidRDefault="00597AE0" w:rsidP="00597AE0">
      <w:pPr>
        <w:autoSpaceDE w:val="0"/>
        <w:autoSpaceDN w:val="0"/>
        <w:adjustRightInd w:val="0"/>
      </w:pPr>
      <w:r w:rsidRPr="004913BA">
        <w:tab/>
        <w:t>For the plaintiff to prevail on [his][her] [</w:t>
      </w:r>
      <w:r w:rsidRPr="00FC46FC">
        <w:t>other pronoun</w:t>
      </w:r>
      <w:r w:rsidRPr="004913BA">
        <w:t>] claim of deliberate or reckless suppression of evidence, the plaintiff must prove the following elements by a preponderance of the evidence:</w:t>
      </w:r>
    </w:p>
    <w:p w14:paraId="4D64B55A" w14:textId="77777777" w:rsidR="00597AE0" w:rsidRPr="004913BA" w:rsidRDefault="00597AE0" w:rsidP="00597AE0">
      <w:pPr>
        <w:autoSpaceDE w:val="0"/>
        <w:autoSpaceDN w:val="0"/>
        <w:adjustRightInd w:val="0"/>
      </w:pPr>
    </w:p>
    <w:p w14:paraId="2B8E0A20" w14:textId="77777777" w:rsidR="00597AE0" w:rsidRPr="004913BA" w:rsidRDefault="00597AE0" w:rsidP="00437072">
      <w:pPr>
        <w:autoSpaceDE w:val="0"/>
        <w:autoSpaceDN w:val="0"/>
        <w:adjustRightInd w:val="0"/>
        <w:ind w:firstLine="720"/>
      </w:pPr>
      <w:r w:rsidRPr="00844EC5">
        <w:rPr>
          <w:rFonts w:eastAsia="Calibri" w:cs="Times New Roman"/>
        </w:rPr>
        <w:t>First, the</w:t>
      </w:r>
      <w:r w:rsidRPr="004913BA">
        <w:t xml:space="preserve"> defendant suppressed evidence that was favorable to the accused from the prosecutor and the </w:t>
      </w:r>
      <w:proofErr w:type="gramStart"/>
      <w:r w:rsidRPr="004913BA">
        <w:t>defense;</w:t>
      </w:r>
      <w:proofErr w:type="gramEnd"/>
    </w:p>
    <w:p w14:paraId="03272B98" w14:textId="77777777" w:rsidR="00597AE0" w:rsidRPr="004913BA" w:rsidRDefault="00597AE0" w:rsidP="00437072">
      <w:pPr>
        <w:autoSpaceDE w:val="0"/>
        <w:autoSpaceDN w:val="0"/>
        <w:adjustRightInd w:val="0"/>
        <w:ind w:firstLine="720"/>
      </w:pPr>
    </w:p>
    <w:p w14:paraId="10C02204" w14:textId="77777777" w:rsidR="00597AE0" w:rsidRPr="004913BA" w:rsidRDefault="00597AE0" w:rsidP="00437072">
      <w:pPr>
        <w:autoSpaceDE w:val="0"/>
        <w:autoSpaceDN w:val="0"/>
        <w:adjustRightInd w:val="0"/>
        <w:ind w:firstLine="720"/>
      </w:pPr>
      <w:r w:rsidRPr="00844EC5">
        <w:rPr>
          <w:rFonts w:eastAsia="Calibri" w:cs="Times New Roman"/>
        </w:rPr>
        <w:t>Second, the</w:t>
      </w:r>
      <w:r w:rsidRPr="004913BA">
        <w:t xml:space="preserve"> suppression harmed the accused</w:t>
      </w:r>
      <w:r w:rsidRPr="006A4CD7">
        <w:rPr>
          <w:rFonts w:cs="Times New Roman"/>
          <w:szCs w:val="24"/>
        </w:rPr>
        <w:t>;</w:t>
      </w:r>
      <w:r w:rsidRPr="004913BA">
        <w:t xml:space="preserve"> and</w:t>
      </w:r>
    </w:p>
    <w:p w14:paraId="35E5A4FC" w14:textId="77777777" w:rsidR="00597AE0" w:rsidRPr="004913BA" w:rsidRDefault="00597AE0" w:rsidP="00437072">
      <w:pPr>
        <w:autoSpaceDE w:val="0"/>
        <w:autoSpaceDN w:val="0"/>
        <w:adjustRightInd w:val="0"/>
        <w:ind w:firstLine="720"/>
      </w:pPr>
    </w:p>
    <w:p w14:paraId="45F72480" w14:textId="77777777" w:rsidR="00597AE0" w:rsidRPr="004913BA" w:rsidRDefault="00597AE0" w:rsidP="00437072">
      <w:pPr>
        <w:autoSpaceDE w:val="0"/>
        <w:autoSpaceDN w:val="0"/>
        <w:adjustRightInd w:val="0"/>
        <w:ind w:firstLine="720"/>
      </w:pPr>
      <w:r w:rsidRPr="00844EC5">
        <w:rPr>
          <w:rFonts w:eastAsia="Calibri" w:cs="Times New Roman"/>
        </w:rPr>
        <w:t>Third, the</w:t>
      </w:r>
      <w:r w:rsidRPr="004913BA">
        <w:t xml:space="preserve"> defendant acted with deliberate indifference to an accused’s rights or for the truth in suppressing the evidence.</w:t>
      </w:r>
    </w:p>
    <w:p w14:paraId="35400AE2" w14:textId="77777777" w:rsidR="00597AE0" w:rsidRPr="004913BA" w:rsidRDefault="00597AE0" w:rsidP="00597AE0">
      <w:pPr>
        <w:autoSpaceDE w:val="0"/>
        <w:autoSpaceDN w:val="0"/>
        <w:adjustRightInd w:val="0"/>
      </w:pPr>
    </w:p>
    <w:p w14:paraId="74EE4568" w14:textId="77777777" w:rsidR="00597AE0" w:rsidRPr="004913BA" w:rsidRDefault="00597AE0" w:rsidP="00597AE0">
      <w:pPr>
        <w:autoSpaceDE w:val="0"/>
        <w:autoSpaceDN w:val="0"/>
        <w:adjustRightInd w:val="0"/>
      </w:pPr>
      <w:r w:rsidRPr="004913BA">
        <w:tab/>
        <w:t>“Deliberate indifference” is the conscious or reckless disregard of the consequences of one’s acts or omissions.</w:t>
      </w:r>
    </w:p>
    <w:p w14:paraId="73E9A7A8" w14:textId="77777777" w:rsidR="00597AE0" w:rsidRPr="004913BA" w:rsidRDefault="00597AE0" w:rsidP="00597AE0">
      <w:pPr>
        <w:autoSpaceDE w:val="0"/>
        <w:autoSpaceDN w:val="0"/>
        <w:adjustRightInd w:val="0"/>
        <w:jc w:val="center"/>
      </w:pPr>
    </w:p>
    <w:p w14:paraId="65D1C20E" w14:textId="77777777" w:rsidR="00597AE0" w:rsidRPr="004913BA" w:rsidRDefault="00597AE0" w:rsidP="00597AE0">
      <w:pPr>
        <w:autoSpaceDE w:val="0"/>
        <w:autoSpaceDN w:val="0"/>
        <w:adjustRightInd w:val="0"/>
        <w:jc w:val="center"/>
      </w:pPr>
      <w:r w:rsidRPr="004913BA">
        <w:rPr>
          <w:b/>
        </w:rPr>
        <w:t>Comment</w:t>
      </w:r>
    </w:p>
    <w:p w14:paraId="3B0E6DD3" w14:textId="77777777" w:rsidR="00597AE0" w:rsidRPr="004913BA" w:rsidRDefault="00597AE0" w:rsidP="00597AE0">
      <w:pPr>
        <w:autoSpaceDE w:val="0"/>
        <w:autoSpaceDN w:val="0"/>
        <w:adjustRightInd w:val="0"/>
        <w:jc w:val="center"/>
      </w:pPr>
    </w:p>
    <w:p w14:paraId="33981038" w14:textId="77777777" w:rsidR="00597AE0" w:rsidRDefault="00597AE0" w:rsidP="00597AE0">
      <w:pPr>
        <w:autoSpaceDE w:val="0"/>
        <w:autoSpaceDN w:val="0"/>
        <w:adjustRightInd w:val="0"/>
        <w:rPr>
          <w:rFonts w:cs="Times New Roman"/>
          <w:szCs w:val="24"/>
        </w:rPr>
      </w:pPr>
      <w:r w:rsidRPr="004913BA">
        <w:tab/>
        <w:t xml:space="preserve">Use this instruction only in conjunction with the applicable </w:t>
      </w:r>
      <w:proofErr w:type="gramStart"/>
      <w:r w:rsidRPr="004913BA">
        <w:t>elements</w:t>
      </w:r>
      <w:proofErr w:type="gramEnd"/>
      <w:r w:rsidRPr="004913BA">
        <w:t xml:space="preserve"> instructions, Instructions 9.3–9.8.</w:t>
      </w:r>
      <w:r w:rsidRPr="006A4CD7">
        <w:rPr>
          <w:rFonts w:cs="Times New Roman"/>
          <w:szCs w:val="24"/>
        </w:rPr>
        <w:t xml:space="preserve"> </w:t>
      </w:r>
    </w:p>
    <w:p w14:paraId="4BD3A515" w14:textId="77777777" w:rsidR="00924A04" w:rsidRPr="004913BA" w:rsidRDefault="00924A04" w:rsidP="00597AE0">
      <w:pPr>
        <w:autoSpaceDE w:val="0"/>
        <w:autoSpaceDN w:val="0"/>
        <w:adjustRightInd w:val="0"/>
      </w:pPr>
    </w:p>
    <w:p w14:paraId="181B44AB" w14:textId="77777777" w:rsidR="00924A04" w:rsidRPr="00427C37" w:rsidRDefault="00924A04" w:rsidP="00924A04">
      <w:pPr>
        <w:shd w:val="clear" w:color="auto" w:fill="FFFFFF"/>
        <w:tabs>
          <w:tab w:val="left" w:pos="8640"/>
        </w:tabs>
        <w:ind w:firstLine="720"/>
        <w:rPr>
          <w:rFonts w:eastAsia="Times New Roman" w:cs="Times New Roman"/>
          <w:szCs w:val="24"/>
        </w:rPr>
      </w:pPr>
      <w:bookmarkStart w:id="2" w:name="_Hlk203554400"/>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6BB302A4" w14:textId="77777777" w:rsidR="00597AE0" w:rsidRPr="004913BA" w:rsidRDefault="00597AE0" w:rsidP="00597AE0">
      <w:pPr>
        <w:autoSpaceDE w:val="0"/>
        <w:autoSpaceDN w:val="0"/>
        <w:adjustRightInd w:val="0"/>
      </w:pPr>
    </w:p>
    <w:p w14:paraId="4D7946A9" w14:textId="77777777" w:rsidR="00597AE0" w:rsidRPr="004913BA" w:rsidRDefault="00597AE0" w:rsidP="00597AE0">
      <w:pPr>
        <w:autoSpaceDE w:val="0"/>
        <w:autoSpaceDN w:val="0"/>
        <w:adjustRightInd w:val="0"/>
        <w:ind w:firstLine="720"/>
      </w:pPr>
      <w:r w:rsidRPr="004913BA">
        <w:t xml:space="preserve">In </w:t>
      </w:r>
      <w:r w:rsidRPr="004913BA">
        <w:rPr>
          <w:i/>
        </w:rPr>
        <w:t>Tatum</w:t>
      </w:r>
      <w:r w:rsidRPr="004913BA">
        <w:t xml:space="preserve">, the Ninth Circuit permitted a criminal defendant to pursue a due process claim for 27 months of pretrial detention that would not have occurred if “significant exculpatory evidence” had been disclosed by law enforcement to prosecutors. </w:t>
      </w:r>
      <w:r w:rsidRPr="004913BA">
        <w:rPr>
          <w:i/>
        </w:rPr>
        <w:t>Tatum v. Moody</w:t>
      </w:r>
      <w:r w:rsidRPr="004913BA">
        <w:t xml:space="preserve">, 768 F.3d 806, 819-820 (9th Cir. 2014). The Ninth Circuit resolved the appeal without deciding “the scope and </w:t>
      </w:r>
      <w:r w:rsidRPr="004913BA">
        <w:lastRenderedPageBreak/>
        <w:t xml:space="preserve">protections established by </w:t>
      </w:r>
      <w:r w:rsidRPr="004913BA">
        <w:rPr>
          <w:i/>
        </w:rPr>
        <w:t>Brady</w:t>
      </w:r>
      <w:r w:rsidRPr="004913BA">
        <w:t xml:space="preserve"> and its progeny</w:t>
      </w:r>
      <w:r w:rsidRPr="004D36F0">
        <w:rPr>
          <w:rFonts w:cs="Times New Roman"/>
          <w:szCs w:val="24"/>
        </w:rPr>
        <w:t>,”</w:t>
      </w:r>
      <w:r>
        <w:rPr>
          <w:rFonts w:cs="Times New Roman"/>
          <w:szCs w:val="24"/>
        </w:rPr>
        <w:t xml:space="preserve"> (</w:t>
      </w:r>
      <w:r>
        <w:rPr>
          <w:rFonts w:cs="Times New Roman"/>
          <w:i/>
          <w:iCs/>
          <w:szCs w:val="24"/>
        </w:rPr>
        <w:t>id.</w:t>
      </w:r>
      <w:r>
        <w:rPr>
          <w:rFonts w:cs="Times New Roman"/>
          <w:szCs w:val="24"/>
        </w:rPr>
        <w:t>)</w:t>
      </w:r>
      <w:r w:rsidRPr="004D36F0">
        <w:rPr>
          <w:rFonts w:cs="Times New Roman"/>
          <w:szCs w:val="24"/>
        </w:rPr>
        <w:t xml:space="preserve"> instead</w:t>
      </w:r>
      <w:r w:rsidRPr="004913BA">
        <w:t xml:space="preserve">,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4913BA">
        <w:rPr>
          <w:i/>
        </w:rPr>
        <w:t>Id</w:t>
      </w:r>
      <w:r w:rsidRPr="004913BA">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098AF9D" w14:textId="77777777" w:rsidR="00597AE0" w:rsidRPr="004913BA" w:rsidRDefault="00597AE0" w:rsidP="00597AE0">
      <w:pPr>
        <w:autoSpaceDE w:val="0"/>
        <w:autoSpaceDN w:val="0"/>
        <w:adjustRightInd w:val="0"/>
        <w:ind w:firstLine="720"/>
      </w:pPr>
    </w:p>
    <w:p w14:paraId="3C95FB4B" w14:textId="77777777" w:rsidR="00597AE0" w:rsidRPr="004913BA" w:rsidRDefault="00597AE0" w:rsidP="00597AE0">
      <w:pPr>
        <w:autoSpaceDE w:val="0"/>
        <w:autoSpaceDN w:val="0"/>
        <w:adjustRightInd w:val="0"/>
        <w:ind w:firstLine="720"/>
      </w:pPr>
      <w:r w:rsidRPr="004913BA">
        <w:rPr>
          <w:i/>
        </w:rPr>
        <w:t>See also Mellen v. Winn</w:t>
      </w:r>
      <w:r w:rsidRPr="004913BA">
        <w:t xml:space="preserve">, 900 F.3d 1085, 1096 (9th Cir. 2018) (stating elements); </w:t>
      </w:r>
      <w:r w:rsidRPr="004913BA">
        <w:rPr>
          <w:i/>
        </w:rPr>
        <w:t>Tennison v. City &amp; County of San Francisco</w:t>
      </w:r>
      <w:r w:rsidRPr="004913BA">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4913BA">
        <w:rPr>
          <w:i/>
        </w:rPr>
        <w:t xml:space="preserve"> see also Carrillo v. County of Los Angeles</w:t>
      </w:r>
      <w:r w:rsidRPr="004913BA">
        <w:t>, 798 F.3d 1210, 1219 (9th Cir. 2015) (“The law in 1984 clearly established that police officers were bound to disclose material, exculpatory evidence.”).</w:t>
      </w:r>
    </w:p>
    <w:p w14:paraId="60D63D3E" w14:textId="77777777" w:rsidR="00597AE0" w:rsidRPr="004913BA" w:rsidRDefault="00597AE0" w:rsidP="00597AE0">
      <w:pPr>
        <w:autoSpaceDE w:val="0"/>
        <w:autoSpaceDN w:val="0"/>
        <w:adjustRightInd w:val="0"/>
      </w:pPr>
    </w:p>
    <w:p w14:paraId="2D4FC971" w14:textId="405865B7" w:rsidR="00B03D36" w:rsidRPr="0073137A" w:rsidRDefault="00597AE0" w:rsidP="00597AE0">
      <w:pPr>
        <w:jc w:val="right"/>
      </w:pPr>
      <w:r w:rsidRPr="00AE413F">
        <w:rPr>
          <w:rFonts w:cs="Times New Roman"/>
          <w:i/>
          <w:iCs/>
          <w:szCs w:val="24"/>
        </w:rPr>
        <w:t xml:space="preserve">Revised </w:t>
      </w:r>
      <w:r w:rsidR="00924A04">
        <w:rPr>
          <w:rFonts w:cs="Times New Roman"/>
          <w:i/>
          <w:iCs/>
          <w:szCs w:val="24"/>
        </w:rPr>
        <w:t>June 2025</w:t>
      </w:r>
    </w:p>
    <w:sectPr w:rsidR="00B03D36" w:rsidRPr="0073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331055">
    <w:abstractNumId w:val="1"/>
  </w:num>
  <w:num w:numId="2" w16cid:durableId="1025473959">
    <w:abstractNumId w:val="2"/>
  </w:num>
  <w:num w:numId="3"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A3053"/>
    <w:rsid w:val="001B2DC0"/>
    <w:rsid w:val="00277CB1"/>
    <w:rsid w:val="002F3D5D"/>
    <w:rsid w:val="00341228"/>
    <w:rsid w:val="0043667B"/>
    <w:rsid w:val="00437072"/>
    <w:rsid w:val="004922F2"/>
    <w:rsid w:val="004A269F"/>
    <w:rsid w:val="004E5E65"/>
    <w:rsid w:val="00547BD9"/>
    <w:rsid w:val="00572F74"/>
    <w:rsid w:val="0058249A"/>
    <w:rsid w:val="00597AE0"/>
    <w:rsid w:val="00610EC8"/>
    <w:rsid w:val="00645E89"/>
    <w:rsid w:val="0073137A"/>
    <w:rsid w:val="00922469"/>
    <w:rsid w:val="00924A04"/>
    <w:rsid w:val="00961E6F"/>
    <w:rsid w:val="009F1BDD"/>
    <w:rsid w:val="00AD0E12"/>
    <w:rsid w:val="00B03D36"/>
    <w:rsid w:val="00B96321"/>
    <w:rsid w:val="00BC64CE"/>
    <w:rsid w:val="00C30B63"/>
    <w:rsid w:val="00CA6337"/>
    <w:rsid w:val="00DA6AD6"/>
    <w:rsid w:val="00DC5CFB"/>
    <w:rsid w:val="00E62DEA"/>
    <w:rsid w:val="00F2425A"/>
    <w:rsid w:val="00FC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customStyle="1" w:styleId="DoubleSpace">
    <w:name w:val="Double Space"/>
    <w:qFormat/>
    <w:rsid w:val="00FC4ED8"/>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924A04"/>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Company>United States Courts</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6</cp:revision>
  <dcterms:created xsi:type="dcterms:W3CDTF">2025-01-08T00:40:00Z</dcterms:created>
  <dcterms:modified xsi:type="dcterms:W3CDTF">2025-10-14T21:58:00Z</dcterms:modified>
</cp:coreProperties>
</file>