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A0AE" w14:textId="7455CE4B" w:rsidR="00864BC1" w:rsidRPr="00E820B6" w:rsidRDefault="00864BC1" w:rsidP="00864BC1">
      <w:pPr>
        <w:spacing w:after="0" w:line="240" w:lineRule="auto"/>
        <w:jc w:val="center"/>
        <w:rPr>
          <w:rFonts w:ascii="Times New Roman" w:hAnsi="Times New Roman" w:cs="Times New Roman"/>
          <w:b/>
          <w:bCs/>
          <w:sz w:val="24"/>
          <w:szCs w:val="24"/>
        </w:rPr>
      </w:pPr>
      <w:bookmarkStart w:id="0" w:name="_Hlk97030895"/>
      <w:r w:rsidRPr="00E820B6">
        <w:rPr>
          <w:rFonts w:ascii="Times New Roman" w:hAnsi="Times New Roman" w:cs="Times New Roman"/>
          <w:b/>
          <w:bCs/>
          <w:sz w:val="24"/>
          <w:szCs w:val="24"/>
        </w:rPr>
        <w:t xml:space="preserve">9.35 </w:t>
      </w:r>
      <w:bookmarkStart w:id="1" w:name="_Hlk147387928"/>
      <w:r w:rsidRPr="00E820B6">
        <w:rPr>
          <w:rFonts w:ascii="Times New Roman" w:hAnsi="Times New Roman" w:cs="Times New Roman"/>
          <w:b/>
          <w:bCs/>
          <w:i/>
          <w:iCs/>
          <w:sz w:val="24"/>
          <w:szCs w:val="24"/>
        </w:rPr>
        <w:t xml:space="preserve">Bivens </w:t>
      </w:r>
      <w:r w:rsidRPr="00E820B6">
        <w:rPr>
          <w:rFonts w:ascii="Times New Roman" w:hAnsi="Times New Roman" w:cs="Times New Roman"/>
          <w:b/>
          <w:bCs/>
          <w:sz w:val="24"/>
          <w:szCs w:val="24"/>
        </w:rPr>
        <w:t>Claim Against Federal Defendant in Individual Capacity—</w:t>
      </w:r>
      <w:r w:rsidRPr="00E820B6">
        <w:rPr>
          <w:rFonts w:ascii="Times New Roman" w:hAnsi="Times New Roman" w:cs="Times New Roman"/>
          <w:b/>
          <w:bCs/>
          <w:sz w:val="24"/>
          <w:szCs w:val="24"/>
        </w:rPr>
        <w:br/>
        <w:t>Elements and Burden of Proof</w:t>
      </w:r>
      <w:bookmarkEnd w:id="1"/>
    </w:p>
    <w:p w14:paraId="1AD7F64E" w14:textId="77777777" w:rsidR="00864BC1" w:rsidRPr="00E820B6" w:rsidRDefault="00864BC1" w:rsidP="00864BC1">
      <w:pPr>
        <w:spacing w:after="0" w:line="240" w:lineRule="auto"/>
        <w:jc w:val="center"/>
        <w:rPr>
          <w:rFonts w:ascii="Times New Roman" w:hAnsi="Times New Roman" w:cs="Times New Roman"/>
          <w:b/>
          <w:bCs/>
          <w:sz w:val="24"/>
          <w:szCs w:val="24"/>
        </w:rPr>
      </w:pPr>
    </w:p>
    <w:bookmarkEnd w:id="0"/>
    <w:p w14:paraId="40CFFFA3" w14:textId="20574758"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The plaintiff brings [his] [her] claim[s] under a Supreme Court decision known as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which </w:t>
      </w:r>
      <w:r w:rsidR="005A5415" w:rsidRPr="00E820B6">
        <w:rPr>
          <w:rFonts w:ascii="Times New Roman" w:hAnsi="Times New Roman" w:cs="Times New Roman"/>
          <w:sz w:val="24"/>
          <w:szCs w:val="24"/>
        </w:rPr>
        <w:t xml:space="preserve">permits a plaintiff to seek damages from </w:t>
      </w:r>
      <w:r w:rsidRPr="00E820B6">
        <w:rPr>
          <w:rFonts w:ascii="Times New Roman" w:hAnsi="Times New Roman" w:cs="Times New Roman"/>
          <w:sz w:val="24"/>
          <w:szCs w:val="24"/>
        </w:rPr>
        <w:t>any person who</w:t>
      </w:r>
      <w:r w:rsidR="005A5415" w:rsidRPr="00E820B6">
        <w:rPr>
          <w:rFonts w:ascii="Times New Roman" w:hAnsi="Times New Roman" w:cs="Times New Roman"/>
          <w:sz w:val="24"/>
          <w:szCs w:val="24"/>
        </w:rPr>
        <w:t xml:space="preserve">, acting </w:t>
      </w:r>
      <w:r w:rsidRPr="00E820B6">
        <w:rPr>
          <w:rFonts w:ascii="Times New Roman" w:hAnsi="Times New Roman" w:cs="Times New Roman"/>
          <w:sz w:val="24"/>
          <w:szCs w:val="24"/>
        </w:rPr>
        <w:t xml:space="preserve">under color of federal law, deprives </w:t>
      </w:r>
      <w:r w:rsidR="005A5415" w:rsidRPr="00E820B6">
        <w:rPr>
          <w:rFonts w:ascii="Times New Roman" w:hAnsi="Times New Roman" w:cs="Times New Roman"/>
          <w:sz w:val="24"/>
          <w:szCs w:val="24"/>
        </w:rPr>
        <w:t xml:space="preserve">the plaintiff </w:t>
      </w:r>
      <w:r w:rsidRPr="00E820B6">
        <w:rPr>
          <w:rFonts w:ascii="Times New Roman" w:hAnsi="Times New Roman" w:cs="Times New Roman"/>
          <w:sz w:val="24"/>
          <w:szCs w:val="24"/>
        </w:rPr>
        <w:t xml:space="preserve">of </w:t>
      </w:r>
      <w:r w:rsidR="005A5415" w:rsidRPr="00E820B6">
        <w:rPr>
          <w:rFonts w:ascii="Times New Roman" w:hAnsi="Times New Roman" w:cs="Times New Roman"/>
          <w:sz w:val="24"/>
          <w:szCs w:val="24"/>
        </w:rPr>
        <w:t>certain</w:t>
      </w:r>
      <w:r w:rsidRPr="00E820B6">
        <w:rPr>
          <w:rFonts w:ascii="Times New Roman" w:hAnsi="Times New Roman" w:cs="Times New Roman"/>
          <w:sz w:val="24"/>
          <w:szCs w:val="24"/>
        </w:rPr>
        <w:t xml:space="preserve"> rights, privileges, or immunities secured by the Constitution of the United States</w:t>
      </w:r>
      <w:r w:rsidR="005A5415" w:rsidRPr="00E820B6">
        <w:rPr>
          <w:rFonts w:ascii="Times New Roman" w:hAnsi="Times New Roman" w:cs="Times New Roman"/>
          <w:sz w:val="24"/>
          <w:szCs w:val="24"/>
        </w:rPr>
        <w:t>.</w:t>
      </w:r>
      <w:r w:rsidRPr="00E820B6">
        <w:rPr>
          <w:rFonts w:ascii="Times New Roman" w:hAnsi="Times New Roman" w:cs="Times New Roman"/>
          <w:sz w:val="24"/>
          <w:szCs w:val="24"/>
        </w:rPr>
        <w:t xml:space="preserve"> </w:t>
      </w:r>
    </w:p>
    <w:p w14:paraId="5AB66E9A" w14:textId="77777777" w:rsidR="00864BC1" w:rsidRPr="00E820B6" w:rsidRDefault="00864BC1" w:rsidP="00864BC1">
      <w:pPr>
        <w:spacing w:after="0" w:line="240" w:lineRule="auto"/>
        <w:rPr>
          <w:rFonts w:ascii="Times New Roman" w:hAnsi="Times New Roman" w:cs="Times New Roman"/>
          <w:sz w:val="24"/>
          <w:szCs w:val="24"/>
        </w:rPr>
      </w:pPr>
    </w:p>
    <w:p w14:paraId="068EF48C" w14:textId="6149323D"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 xml:space="preserve">To prevail on [his] [her] </w:t>
      </w:r>
      <w:r w:rsidRPr="00E820B6">
        <w:rPr>
          <w:rFonts w:ascii="Times New Roman" w:hAnsi="Times New Roman" w:cs="Times New Roman"/>
          <w:i/>
          <w:iCs/>
          <w:sz w:val="24"/>
          <w:szCs w:val="24"/>
        </w:rPr>
        <w:t xml:space="preserve">Bivens </w:t>
      </w:r>
      <w:r w:rsidRPr="00E820B6">
        <w:rPr>
          <w:rFonts w:ascii="Times New Roman" w:hAnsi="Times New Roman" w:cs="Times New Roman"/>
          <w:sz w:val="24"/>
          <w:szCs w:val="24"/>
        </w:rPr>
        <w:t>claim against the defendant [</w:t>
      </w:r>
      <w:r w:rsidRPr="00E820B6">
        <w:rPr>
          <w:rFonts w:ascii="Times New Roman" w:hAnsi="Times New Roman" w:cs="Times New Roman"/>
          <w:i/>
          <w:iCs/>
          <w:sz w:val="24"/>
          <w:szCs w:val="24"/>
          <w:u w:val="single"/>
        </w:rPr>
        <w:t>name of individual defendant</w:t>
      </w:r>
      <w:r w:rsidRPr="00E820B6">
        <w:rPr>
          <w:rFonts w:ascii="Times New Roman" w:hAnsi="Times New Roman" w:cs="Times New Roman"/>
          <w:sz w:val="24"/>
          <w:szCs w:val="24"/>
        </w:rPr>
        <w:t>], the plaintiff must prove each of the following elements by a preponderance of the evidence:</w:t>
      </w:r>
    </w:p>
    <w:p w14:paraId="5019327D" w14:textId="77777777" w:rsidR="00864BC1" w:rsidRPr="00E820B6" w:rsidRDefault="00864BC1" w:rsidP="00864BC1">
      <w:pPr>
        <w:spacing w:after="0" w:line="240" w:lineRule="auto"/>
        <w:rPr>
          <w:rFonts w:ascii="Times New Roman" w:hAnsi="Times New Roman" w:cs="Times New Roman"/>
          <w:sz w:val="24"/>
          <w:szCs w:val="24"/>
        </w:rPr>
      </w:pPr>
    </w:p>
    <w:p w14:paraId="35485AA7" w14:textId="53A6E010" w:rsidR="00864BC1" w:rsidRPr="00E820B6" w:rsidRDefault="00864BC1" w:rsidP="00864BC1">
      <w:pPr>
        <w:pStyle w:val="ListParagraph"/>
        <w:numPr>
          <w:ilvl w:val="0"/>
          <w:numId w:val="1"/>
        </w:num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 xml:space="preserve">the defendant acted under color of federal law; and </w:t>
      </w:r>
    </w:p>
    <w:p w14:paraId="729EDD90" w14:textId="77777777" w:rsidR="00864BC1" w:rsidRPr="00E820B6" w:rsidRDefault="00864BC1" w:rsidP="00864BC1">
      <w:pPr>
        <w:pStyle w:val="ListParagraph"/>
        <w:spacing w:after="0" w:line="240" w:lineRule="auto"/>
        <w:ind w:left="1440"/>
        <w:rPr>
          <w:rFonts w:ascii="Times New Roman" w:hAnsi="Times New Roman" w:cs="Times New Roman"/>
          <w:sz w:val="24"/>
          <w:szCs w:val="24"/>
        </w:rPr>
      </w:pPr>
    </w:p>
    <w:p w14:paraId="33CA908F" w14:textId="57A3D9C4" w:rsidR="00864BC1" w:rsidRPr="00E820B6" w:rsidRDefault="00864BC1" w:rsidP="00864BC1">
      <w:pPr>
        <w:pStyle w:val="ListParagraph"/>
        <w:numPr>
          <w:ilvl w:val="0"/>
          <w:numId w:val="1"/>
        </w:num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the [act[s]] [failure to act] of the defendant deprived the plaintiff of [his] [her] particular rights under the United States Constitution, as explained elsewhere in these instructions.</w:t>
      </w:r>
    </w:p>
    <w:p w14:paraId="43E62233" w14:textId="77777777" w:rsidR="00864BC1" w:rsidRPr="00E820B6" w:rsidRDefault="00864BC1" w:rsidP="00864BC1">
      <w:pPr>
        <w:spacing w:after="0" w:line="240" w:lineRule="auto"/>
        <w:rPr>
          <w:rFonts w:ascii="Times New Roman" w:hAnsi="Times New Roman" w:cs="Times New Roman"/>
          <w:sz w:val="24"/>
          <w:szCs w:val="24"/>
        </w:rPr>
      </w:pPr>
    </w:p>
    <w:p w14:paraId="7D189A42" w14:textId="3FD31ED8"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A person acts “under color of federal law” when the person acts or purports to act in the performance of official duties under any federal law.  [[The parties have stipulated] [I instruct you] that the defendant acted under color of federal law.]</w:t>
      </w:r>
    </w:p>
    <w:p w14:paraId="21531E4F" w14:textId="77777777" w:rsidR="00864BC1" w:rsidRPr="00E820B6" w:rsidRDefault="00864BC1" w:rsidP="00864BC1">
      <w:pPr>
        <w:spacing w:after="0" w:line="240" w:lineRule="auto"/>
        <w:rPr>
          <w:rFonts w:ascii="Times New Roman" w:hAnsi="Times New Roman" w:cs="Times New Roman"/>
          <w:sz w:val="24"/>
          <w:szCs w:val="24"/>
        </w:rPr>
      </w:pPr>
    </w:p>
    <w:p w14:paraId="33E2CDCA" w14:textId="0CBE8E60"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If you find the plaintiff has proved each of these two elements, and if you also find that the plaintiff has proved all the elements [he] [she] is required to prove under Instruction[s] [</w:t>
      </w:r>
      <w:r w:rsidRPr="00E820B6">
        <w:rPr>
          <w:rFonts w:ascii="Times New Roman" w:hAnsi="Times New Roman" w:cs="Times New Roman"/>
          <w:i/>
          <w:iCs/>
          <w:sz w:val="24"/>
          <w:szCs w:val="24"/>
          <w:u w:val="single"/>
        </w:rPr>
        <w:t>specify the instruction[s] that deal</w:t>
      </w:r>
      <w:r w:rsidRPr="00E820B6">
        <w:rPr>
          <w:rFonts w:ascii="Times New Roman" w:hAnsi="Times New Roman" w:cs="Times New Roman"/>
          <w:sz w:val="24"/>
          <w:szCs w:val="24"/>
          <w:u w:val="single"/>
        </w:rPr>
        <w:t>[</w:t>
      </w:r>
      <w:r w:rsidRPr="00E820B6">
        <w:rPr>
          <w:rFonts w:ascii="Times New Roman" w:hAnsi="Times New Roman" w:cs="Times New Roman"/>
          <w:i/>
          <w:iCs/>
          <w:sz w:val="24"/>
          <w:szCs w:val="24"/>
          <w:u w:val="single"/>
        </w:rPr>
        <w:t>s</w:t>
      </w:r>
      <w:r w:rsidRPr="00E820B6">
        <w:rPr>
          <w:rFonts w:ascii="Times New Roman" w:hAnsi="Times New Roman" w:cs="Times New Roman"/>
          <w:sz w:val="24"/>
          <w:szCs w:val="24"/>
          <w:u w:val="single"/>
        </w:rPr>
        <w:t>]</w:t>
      </w:r>
      <w:r w:rsidRPr="00E820B6">
        <w:rPr>
          <w:rFonts w:ascii="Times New Roman" w:hAnsi="Times New Roman" w:cs="Times New Roman"/>
          <w:i/>
          <w:iCs/>
          <w:sz w:val="24"/>
          <w:szCs w:val="24"/>
          <w:u w:val="single"/>
        </w:rPr>
        <w:t xml:space="preserve"> with the particular right</w:t>
      </w:r>
      <w:r w:rsidRPr="00E820B6">
        <w:rPr>
          <w:rFonts w:ascii="Times New Roman" w:hAnsi="Times New Roman" w:cs="Times New Roman"/>
          <w:sz w:val="24"/>
          <w:szCs w:val="24"/>
          <w:u w:val="single"/>
        </w:rPr>
        <w:t>[</w:t>
      </w:r>
      <w:r w:rsidRPr="00E820B6">
        <w:rPr>
          <w:rFonts w:ascii="Times New Roman" w:hAnsi="Times New Roman" w:cs="Times New Roman"/>
          <w:i/>
          <w:iCs/>
          <w:sz w:val="24"/>
          <w:szCs w:val="24"/>
          <w:u w:val="single"/>
        </w:rPr>
        <w:t>s</w:t>
      </w:r>
      <w:r w:rsidRPr="00E820B6">
        <w:rPr>
          <w:rFonts w:ascii="Times New Roman" w:hAnsi="Times New Roman" w:cs="Times New Roman"/>
          <w:sz w:val="24"/>
          <w:szCs w:val="24"/>
          <w:u w:val="single"/>
        </w:rPr>
        <w:t>]</w:t>
      </w:r>
      <w:r w:rsidRPr="00E820B6">
        <w:rPr>
          <w:rFonts w:ascii="Times New Roman" w:hAnsi="Times New Roman" w:cs="Times New Roman"/>
          <w:sz w:val="24"/>
          <w:szCs w:val="24"/>
        </w:rPr>
        <w:t>], your verdict should be for the plaintiff.  If, on the other hand, you find that the plaintiff has failed to prove any one or more of these elements, your verdict should be for the defendant.</w:t>
      </w:r>
    </w:p>
    <w:p w14:paraId="0568ABE8" w14:textId="77777777" w:rsidR="00864BC1" w:rsidRPr="00E820B6" w:rsidRDefault="00864BC1" w:rsidP="00864BC1">
      <w:pPr>
        <w:spacing w:after="0" w:line="240" w:lineRule="auto"/>
        <w:rPr>
          <w:rFonts w:ascii="Times New Roman" w:hAnsi="Times New Roman" w:cs="Times New Roman"/>
          <w:sz w:val="24"/>
          <w:szCs w:val="24"/>
        </w:rPr>
      </w:pPr>
    </w:p>
    <w:p w14:paraId="1EFD82F2" w14:textId="1B978B25" w:rsidR="00864BC1" w:rsidRPr="00E820B6" w:rsidRDefault="00864BC1" w:rsidP="00864BC1">
      <w:pPr>
        <w:spacing w:after="0" w:line="240" w:lineRule="auto"/>
        <w:jc w:val="center"/>
        <w:rPr>
          <w:rFonts w:ascii="Times New Roman" w:hAnsi="Times New Roman" w:cs="Times New Roman"/>
          <w:b/>
          <w:bCs/>
          <w:sz w:val="24"/>
          <w:szCs w:val="24"/>
        </w:rPr>
      </w:pPr>
      <w:r w:rsidRPr="00E820B6">
        <w:rPr>
          <w:rFonts w:ascii="Times New Roman" w:hAnsi="Times New Roman" w:cs="Times New Roman"/>
          <w:b/>
          <w:bCs/>
          <w:sz w:val="24"/>
          <w:szCs w:val="24"/>
        </w:rPr>
        <w:t>Comment</w:t>
      </w:r>
    </w:p>
    <w:p w14:paraId="1FC1D632" w14:textId="77777777" w:rsidR="00864BC1" w:rsidRPr="00E820B6" w:rsidRDefault="00864BC1" w:rsidP="00864BC1">
      <w:pPr>
        <w:spacing w:after="0" w:line="240" w:lineRule="auto"/>
        <w:jc w:val="center"/>
        <w:rPr>
          <w:rFonts w:ascii="Times New Roman" w:hAnsi="Times New Roman" w:cs="Times New Roman"/>
          <w:b/>
          <w:bCs/>
          <w:sz w:val="24"/>
          <w:szCs w:val="24"/>
        </w:rPr>
      </w:pPr>
    </w:p>
    <w:p w14:paraId="7E95391B" w14:textId="6A430824"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 xml:space="preserve">In 1971, the Supreme Court in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adopted an “implied cause of action theory” that permits a plaintiff to seek damages from federal officers for the unreasonable search and seizure in plaintiff’s home.  </w:t>
      </w:r>
      <w:r w:rsidRPr="00E820B6">
        <w:rPr>
          <w:rFonts w:ascii="Times New Roman" w:hAnsi="Times New Roman" w:cs="Times New Roman"/>
          <w:i/>
          <w:iCs/>
          <w:sz w:val="24"/>
          <w:szCs w:val="24"/>
        </w:rPr>
        <w:t>See Bivens v. Six Unknown Named Agents of Fed. Bureau of Narcotics</w:t>
      </w:r>
      <w:r w:rsidRPr="00E820B6">
        <w:rPr>
          <w:rFonts w:ascii="Times New Roman" w:hAnsi="Times New Roman" w:cs="Times New Roman"/>
          <w:sz w:val="24"/>
          <w:szCs w:val="24"/>
        </w:rPr>
        <w:t xml:space="preserve">, 403 U.S. 388 (1971).  Since then, the Supreme Court has recognized a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action in two other contexts: a claim asserting that a Congressman discriminated on the basis of gender in employment, in violation of the Fifth Amendment due process clause, </w:t>
      </w:r>
      <w:r w:rsidRPr="00E820B6">
        <w:rPr>
          <w:rFonts w:ascii="Times New Roman" w:hAnsi="Times New Roman" w:cs="Times New Roman"/>
          <w:i/>
          <w:iCs/>
          <w:sz w:val="24"/>
          <w:szCs w:val="24"/>
        </w:rPr>
        <w:t>Davis v. Passman</w:t>
      </w:r>
      <w:r w:rsidRPr="00E820B6">
        <w:rPr>
          <w:rFonts w:ascii="Times New Roman" w:hAnsi="Times New Roman" w:cs="Times New Roman"/>
          <w:sz w:val="24"/>
          <w:szCs w:val="24"/>
        </w:rPr>
        <w:t xml:space="preserve">, 442 U.S. 228 (1979), and an Eighth Amendment claim for cruel and unusual punishment against federal jailers for failing to treat a prisoner’s severe asthma.  </w:t>
      </w:r>
      <w:r w:rsidRPr="00E820B6">
        <w:rPr>
          <w:rFonts w:ascii="Times New Roman" w:hAnsi="Times New Roman" w:cs="Times New Roman"/>
          <w:i/>
          <w:iCs/>
          <w:sz w:val="24"/>
          <w:szCs w:val="24"/>
        </w:rPr>
        <w:t>Carlson v. Green</w:t>
      </w:r>
      <w:r w:rsidRPr="00E820B6">
        <w:rPr>
          <w:rFonts w:ascii="Times New Roman" w:hAnsi="Times New Roman" w:cs="Times New Roman"/>
          <w:sz w:val="24"/>
          <w:szCs w:val="24"/>
        </w:rPr>
        <w:t xml:space="preserve">, 446 U.S. 14 (1980).  </w:t>
      </w:r>
    </w:p>
    <w:p w14:paraId="289C2DF6" w14:textId="77777777" w:rsidR="00864BC1" w:rsidRPr="00E820B6" w:rsidRDefault="00864BC1" w:rsidP="00864BC1">
      <w:pPr>
        <w:spacing w:after="0" w:line="240" w:lineRule="auto"/>
        <w:rPr>
          <w:rFonts w:ascii="Times New Roman" w:hAnsi="Times New Roman" w:cs="Times New Roman"/>
          <w:sz w:val="24"/>
          <w:szCs w:val="24"/>
        </w:rPr>
      </w:pPr>
    </w:p>
    <w:p w14:paraId="55CA92EC" w14:textId="77777777" w:rsidR="00C3157A" w:rsidRDefault="00864BC1" w:rsidP="003108A6">
      <w:pPr>
        <w:autoSpaceDE w:val="0"/>
        <w:autoSpaceDN w:val="0"/>
        <w:adjustRightInd w:val="0"/>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 xml:space="preserve">The most recent Supreme Court decision discussing the scope of a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action is </w:t>
      </w:r>
      <w:r w:rsidRPr="00E820B6">
        <w:rPr>
          <w:rFonts w:ascii="Times New Roman" w:hAnsi="Times New Roman" w:cs="Times New Roman"/>
          <w:i/>
          <w:iCs/>
          <w:sz w:val="24"/>
          <w:szCs w:val="24"/>
        </w:rPr>
        <w:t>Egbert v. Boule</w:t>
      </w:r>
      <w:r w:rsidRPr="00E820B6">
        <w:rPr>
          <w:rFonts w:ascii="Times New Roman" w:hAnsi="Times New Roman" w:cs="Times New Roman"/>
          <w:sz w:val="24"/>
          <w:szCs w:val="24"/>
        </w:rPr>
        <w:t xml:space="preserve">, 142 S. Ct. 1793 (2022).  </w:t>
      </w:r>
      <w:r w:rsidRPr="00E820B6">
        <w:rPr>
          <w:rFonts w:ascii="Times New Roman" w:hAnsi="Times New Roman" w:cs="Times New Roman"/>
          <w:i/>
          <w:iCs/>
          <w:sz w:val="24"/>
          <w:szCs w:val="24"/>
        </w:rPr>
        <w:t xml:space="preserve">Egbert </w:t>
      </w:r>
      <w:r w:rsidRPr="00E820B6">
        <w:rPr>
          <w:rFonts w:ascii="Times New Roman" w:hAnsi="Times New Roman" w:cs="Times New Roman"/>
          <w:sz w:val="24"/>
          <w:szCs w:val="24"/>
        </w:rPr>
        <w:t xml:space="preserve">“emphasized that recognizing a cause of action under </w:t>
      </w:r>
      <w:r w:rsidRPr="0060762B">
        <w:rPr>
          <w:rFonts w:ascii="Times New Roman" w:hAnsi="Times New Roman" w:cs="Times New Roman"/>
          <w:sz w:val="24"/>
          <w:szCs w:val="24"/>
        </w:rPr>
        <w:t>Bivens</w:t>
      </w:r>
      <w:r w:rsidRPr="00E820B6">
        <w:rPr>
          <w:rFonts w:ascii="Times New Roman" w:hAnsi="Times New Roman" w:cs="Times New Roman"/>
          <w:sz w:val="24"/>
          <w:szCs w:val="24"/>
        </w:rPr>
        <w:t xml:space="preserve"> is a ‘disfavored judicial activity.’” </w:t>
      </w:r>
      <w:r w:rsidRPr="00E820B6">
        <w:rPr>
          <w:rFonts w:ascii="Times New Roman" w:hAnsi="Times New Roman" w:cs="Times New Roman"/>
          <w:i/>
          <w:iCs/>
          <w:sz w:val="24"/>
          <w:szCs w:val="24"/>
        </w:rPr>
        <w:t>Id.</w:t>
      </w:r>
      <w:r w:rsidRPr="00E820B6">
        <w:rPr>
          <w:rFonts w:ascii="Times New Roman" w:hAnsi="Times New Roman" w:cs="Times New Roman"/>
          <w:sz w:val="24"/>
          <w:szCs w:val="24"/>
        </w:rPr>
        <w:t xml:space="preserve"> at 1803 (quoting </w:t>
      </w:r>
      <w:r w:rsidRPr="00E820B6">
        <w:rPr>
          <w:rFonts w:ascii="Times New Roman" w:hAnsi="Times New Roman" w:cs="Times New Roman"/>
          <w:i/>
          <w:iCs/>
          <w:sz w:val="24"/>
          <w:szCs w:val="24"/>
        </w:rPr>
        <w:t>Ziglar v. Abassi</w:t>
      </w:r>
      <w:r w:rsidRPr="00E820B6">
        <w:rPr>
          <w:rFonts w:ascii="Times New Roman" w:hAnsi="Times New Roman" w:cs="Times New Roman"/>
          <w:sz w:val="24"/>
          <w:szCs w:val="24"/>
        </w:rPr>
        <w:t xml:space="preserve">, 137 S. Ct. 1843, 1856-57 (2017)).  With that consideration in mind, </w:t>
      </w:r>
      <w:r w:rsidRPr="00E820B6">
        <w:rPr>
          <w:rFonts w:ascii="Times New Roman" w:hAnsi="Times New Roman" w:cs="Times New Roman"/>
          <w:i/>
          <w:iCs/>
          <w:sz w:val="24"/>
          <w:szCs w:val="24"/>
        </w:rPr>
        <w:t xml:space="preserve">Egbert </w:t>
      </w:r>
      <w:r w:rsidRPr="00E820B6">
        <w:rPr>
          <w:rFonts w:ascii="Times New Roman" w:hAnsi="Times New Roman" w:cs="Times New Roman"/>
          <w:sz w:val="24"/>
          <w:szCs w:val="24"/>
        </w:rPr>
        <w:t xml:space="preserve">explained that to determine whether a </w:t>
      </w:r>
      <w:r w:rsidRPr="00E820B6">
        <w:rPr>
          <w:rFonts w:ascii="Times New Roman" w:hAnsi="Times New Roman" w:cs="Times New Roman"/>
          <w:i/>
          <w:iCs/>
          <w:sz w:val="24"/>
          <w:szCs w:val="24"/>
        </w:rPr>
        <w:t xml:space="preserve">Bivens </w:t>
      </w:r>
      <w:r w:rsidRPr="00E820B6">
        <w:rPr>
          <w:rFonts w:ascii="Times New Roman" w:hAnsi="Times New Roman" w:cs="Times New Roman"/>
          <w:sz w:val="24"/>
          <w:szCs w:val="24"/>
        </w:rPr>
        <w:t xml:space="preserve">remedy exists in a particular case, the court must undertake a two-step process.  </w:t>
      </w:r>
    </w:p>
    <w:p w14:paraId="5496928F" w14:textId="231E2051" w:rsidR="00C3157A" w:rsidRDefault="00864BC1" w:rsidP="00020FCC">
      <w:pPr>
        <w:autoSpaceDE w:val="0"/>
        <w:autoSpaceDN w:val="0"/>
        <w:adjustRightInd w:val="0"/>
        <w:spacing w:after="0" w:line="240" w:lineRule="auto"/>
        <w:ind w:firstLine="720"/>
        <w:rPr>
          <w:rFonts w:ascii="Times New Roman" w:hAnsi="Times New Roman" w:cs="Times New Roman"/>
          <w:sz w:val="24"/>
          <w:szCs w:val="24"/>
        </w:rPr>
      </w:pPr>
      <w:r w:rsidRPr="00E820B6">
        <w:rPr>
          <w:rFonts w:ascii="Times New Roman" w:hAnsi="Times New Roman" w:cs="Times New Roman"/>
          <w:sz w:val="24"/>
          <w:szCs w:val="24"/>
        </w:rPr>
        <w:lastRenderedPageBreak/>
        <w:t xml:space="preserve">At the first step, a court must “ask whether the case present a new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context—</w:t>
      </w:r>
      <w:r w:rsidRPr="00E820B6">
        <w:rPr>
          <w:rFonts w:ascii="Times New Roman" w:hAnsi="Times New Roman" w:cs="Times New Roman"/>
          <w:i/>
          <w:iCs/>
          <w:sz w:val="24"/>
          <w:szCs w:val="24"/>
        </w:rPr>
        <w:t>i.e</w:t>
      </w:r>
      <w:r w:rsidRPr="00E820B6">
        <w:rPr>
          <w:rFonts w:ascii="Times New Roman" w:hAnsi="Times New Roman" w:cs="Times New Roman"/>
          <w:sz w:val="24"/>
          <w:szCs w:val="24"/>
        </w:rPr>
        <w:t xml:space="preserve">., is it meaningfully different from the three cases in which the [Supreme] Court has implied a damages action.”  </w:t>
      </w:r>
      <w:r w:rsidRPr="00E820B6">
        <w:rPr>
          <w:rFonts w:ascii="Times New Roman" w:hAnsi="Times New Roman" w:cs="Times New Roman"/>
          <w:i/>
          <w:iCs/>
          <w:sz w:val="24"/>
          <w:szCs w:val="24"/>
        </w:rPr>
        <w:t>Id.</w:t>
      </w:r>
      <w:r w:rsidRPr="00E820B6">
        <w:rPr>
          <w:rFonts w:ascii="Times New Roman" w:hAnsi="Times New Roman" w:cs="Times New Roman"/>
          <w:sz w:val="24"/>
          <w:szCs w:val="24"/>
        </w:rPr>
        <w:t xml:space="preserve"> at 1803 (internal quotations and alterations omitted).  </w:t>
      </w:r>
      <w:r w:rsidR="00C3157A" w:rsidRPr="00C3157A">
        <w:rPr>
          <w:rFonts w:ascii="Times New Roman" w:hAnsi="Times New Roman" w:cs="Times New Roman"/>
          <w:sz w:val="24"/>
          <w:szCs w:val="24"/>
        </w:rPr>
        <w:t xml:space="preserve">The three cases in which the Supreme Court has held that the Constitution provides an implied cause of action through which plaintiffs can seek damages from federal officers who violate their constitutional rights are </w:t>
      </w:r>
      <w:r w:rsidR="00C3157A" w:rsidRPr="00C3157A">
        <w:rPr>
          <w:rFonts w:ascii="Times New Roman" w:hAnsi="Times New Roman" w:cs="Times New Roman"/>
          <w:i/>
          <w:iCs/>
          <w:sz w:val="24"/>
          <w:szCs w:val="24"/>
        </w:rPr>
        <w:t>Bivens</w:t>
      </w:r>
      <w:r w:rsidR="00C3157A" w:rsidRPr="00C3157A">
        <w:rPr>
          <w:rFonts w:ascii="Times New Roman" w:hAnsi="Times New Roman" w:cs="Times New Roman"/>
          <w:sz w:val="24"/>
          <w:szCs w:val="24"/>
        </w:rPr>
        <w:t xml:space="preserve">, in which the Court held that a plaintiff could seek damages from the Federal Bureau of Narcotics agents who allegedly violated his Fourth Amendment right to be free from unreasonable searches and seizures; </w:t>
      </w:r>
      <w:r w:rsidR="00C3157A" w:rsidRPr="00C3157A">
        <w:rPr>
          <w:rFonts w:ascii="Times New Roman" w:hAnsi="Times New Roman" w:cs="Times New Roman"/>
          <w:i/>
          <w:iCs/>
          <w:sz w:val="24"/>
          <w:szCs w:val="24"/>
        </w:rPr>
        <w:t>Davis v. Passman</w:t>
      </w:r>
      <w:r w:rsidR="00C3157A" w:rsidRPr="00C3157A">
        <w:rPr>
          <w:rFonts w:ascii="Times New Roman" w:hAnsi="Times New Roman" w:cs="Times New Roman"/>
          <w:sz w:val="24"/>
          <w:szCs w:val="24"/>
        </w:rPr>
        <w:t xml:space="preserve">, 442 U.S. 228 (1979), in which the Court provided a remedy for the plaintiff who alleged that her employer, a Member of Congress, had discriminated against her because of her sex, which was a Fifth Amendment due process violation; and </w:t>
      </w:r>
      <w:r w:rsidR="00C3157A" w:rsidRPr="00C3157A">
        <w:rPr>
          <w:rFonts w:ascii="Times New Roman" w:hAnsi="Times New Roman" w:cs="Times New Roman"/>
          <w:i/>
          <w:iCs/>
          <w:sz w:val="24"/>
          <w:szCs w:val="24"/>
        </w:rPr>
        <w:t>Carlson v. Green</w:t>
      </w:r>
      <w:r w:rsidR="00C3157A" w:rsidRPr="00C3157A">
        <w:rPr>
          <w:rFonts w:ascii="Times New Roman" w:hAnsi="Times New Roman" w:cs="Times New Roman"/>
          <w:sz w:val="24"/>
          <w:szCs w:val="24"/>
        </w:rPr>
        <w:t xml:space="preserve">, 446 U.S. 14 (1980), in which the Court held that the estate of a deceased prisoner could seek damages from federal prison officials for violating the prisoner’s Eighth Amendment right to be free from cruel and unusual punishment. </w:t>
      </w:r>
      <w:r w:rsidR="00C3157A" w:rsidRPr="00C3157A">
        <w:rPr>
          <w:rFonts w:ascii="Times New Roman" w:hAnsi="Times New Roman" w:cs="Times New Roman"/>
          <w:i/>
          <w:iCs/>
          <w:sz w:val="24"/>
          <w:szCs w:val="24"/>
        </w:rPr>
        <w:t>Pettibone v. Russell</w:t>
      </w:r>
      <w:r w:rsidR="00C3157A" w:rsidRPr="00C3157A">
        <w:rPr>
          <w:rFonts w:ascii="Times New Roman" w:hAnsi="Times New Roman" w:cs="Times New Roman"/>
          <w:sz w:val="24"/>
          <w:szCs w:val="24"/>
        </w:rPr>
        <w:t xml:space="preserve">, 59 F.4th 449, 454 (9th Cir. 2023). In </w:t>
      </w:r>
      <w:r w:rsidR="00C3157A" w:rsidRPr="00C3157A">
        <w:rPr>
          <w:rFonts w:ascii="Times New Roman" w:hAnsi="Times New Roman" w:cs="Times New Roman"/>
          <w:i/>
          <w:iCs/>
          <w:sz w:val="24"/>
          <w:szCs w:val="24"/>
        </w:rPr>
        <w:t>Pettibone</w:t>
      </w:r>
      <w:r w:rsidR="00C3157A" w:rsidRPr="00C3157A">
        <w:rPr>
          <w:rFonts w:ascii="Times New Roman" w:hAnsi="Times New Roman" w:cs="Times New Roman"/>
          <w:sz w:val="24"/>
          <w:szCs w:val="24"/>
        </w:rPr>
        <w:t xml:space="preserve">, </w:t>
      </w:r>
      <w:r w:rsidR="00C3157A" w:rsidRPr="00C3157A">
        <w:rPr>
          <w:rFonts w:ascii="Times New Roman" w:hAnsi="Times New Roman" w:cs="Times New Roman"/>
          <w:i/>
          <w:iCs/>
          <w:sz w:val="24"/>
          <w:szCs w:val="24"/>
        </w:rPr>
        <w:t>id.</w:t>
      </w:r>
      <w:r w:rsidR="00C3157A" w:rsidRPr="00C3157A">
        <w:rPr>
          <w:rFonts w:ascii="Times New Roman" w:hAnsi="Times New Roman" w:cs="Times New Roman"/>
          <w:sz w:val="24"/>
          <w:szCs w:val="24"/>
        </w:rPr>
        <w:t xml:space="preserve"> at 455, the Ninth Circuit held that the plaintiff’s asserted </w:t>
      </w:r>
      <w:r w:rsidR="00C3157A" w:rsidRPr="00C3157A">
        <w:rPr>
          <w:rFonts w:ascii="Times New Roman" w:hAnsi="Times New Roman" w:cs="Times New Roman"/>
          <w:i/>
          <w:iCs/>
          <w:sz w:val="24"/>
          <w:szCs w:val="24"/>
        </w:rPr>
        <w:t>Bivens</w:t>
      </w:r>
      <w:r w:rsidR="00C3157A" w:rsidRPr="00C3157A">
        <w:rPr>
          <w:rFonts w:ascii="Times New Roman" w:hAnsi="Times New Roman" w:cs="Times New Roman"/>
          <w:sz w:val="24"/>
          <w:szCs w:val="24"/>
        </w:rPr>
        <w:t xml:space="preserve"> claim that the defendant violated the Fourth Amendment presented a new context because the federal officer defendant was of a different rank than the officers in </w:t>
      </w:r>
      <w:r w:rsidR="00C3157A" w:rsidRPr="00C3157A">
        <w:rPr>
          <w:rFonts w:ascii="Times New Roman" w:hAnsi="Times New Roman" w:cs="Times New Roman"/>
          <w:i/>
          <w:iCs/>
          <w:sz w:val="24"/>
          <w:szCs w:val="24"/>
        </w:rPr>
        <w:t>Bivens</w:t>
      </w:r>
      <w:r w:rsidR="00C3157A" w:rsidRPr="00C3157A">
        <w:rPr>
          <w:rFonts w:ascii="Times New Roman" w:hAnsi="Times New Roman" w:cs="Times New Roman"/>
          <w:sz w:val="24"/>
          <w:szCs w:val="24"/>
        </w:rPr>
        <w:t xml:space="preserve">, his actions took place at a higher level of generality than the </w:t>
      </w:r>
      <w:r w:rsidR="00C3157A" w:rsidRPr="00C3157A">
        <w:rPr>
          <w:rFonts w:ascii="Times New Roman" w:hAnsi="Times New Roman" w:cs="Times New Roman"/>
          <w:i/>
          <w:iCs/>
          <w:sz w:val="24"/>
          <w:szCs w:val="24"/>
        </w:rPr>
        <w:t>Bivens</w:t>
      </w:r>
      <w:r w:rsidR="00C3157A" w:rsidRPr="00C3157A">
        <w:rPr>
          <w:rFonts w:ascii="Times New Roman" w:hAnsi="Times New Roman" w:cs="Times New Roman"/>
          <w:sz w:val="24"/>
          <w:szCs w:val="24"/>
        </w:rPr>
        <w:t xml:space="preserve"> officers, his legal mandate of directing a multi-agency operation to protect federal property under an executive order, and providing a </w:t>
      </w:r>
      <w:r w:rsidR="00C3157A" w:rsidRPr="00C3157A">
        <w:rPr>
          <w:rFonts w:ascii="Times New Roman" w:hAnsi="Times New Roman" w:cs="Times New Roman"/>
          <w:i/>
          <w:iCs/>
          <w:sz w:val="24"/>
          <w:szCs w:val="24"/>
        </w:rPr>
        <w:t>Bivens</w:t>
      </w:r>
      <w:r w:rsidR="00C3157A" w:rsidRPr="00C3157A">
        <w:rPr>
          <w:rFonts w:ascii="Times New Roman" w:hAnsi="Times New Roman" w:cs="Times New Roman"/>
          <w:sz w:val="24"/>
          <w:szCs w:val="24"/>
        </w:rPr>
        <w:t xml:space="preserve"> remedy would create an increased risk of disruptive intrusion by the courts into the other branches’ functioning. </w:t>
      </w:r>
      <w:bookmarkStart w:id="2" w:name="_Hlk147387142"/>
      <w:r w:rsidR="00C3157A" w:rsidRPr="00C3157A">
        <w:rPr>
          <w:rFonts w:ascii="Times New Roman" w:hAnsi="Times New Roman" w:cs="Times New Roman"/>
          <w:sz w:val="24"/>
          <w:szCs w:val="24"/>
        </w:rPr>
        <w:t xml:space="preserve">The Ninth Circuit likewise held in </w:t>
      </w:r>
      <w:r w:rsidR="00C3157A" w:rsidRPr="00C3157A">
        <w:rPr>
          <w:rFonts w:ascii="Times New Roman" w:hAnsi="Times New Roman" w:cs="Times New Roman"/>
          <w:i/>
          <w:iCs/>
          <w:sz w:val="24"/>
          <w:szCs w:val="24"/>
        </w:rPr>
        <w:t>Mejia v. Miller</w:t>
      </w:r>
      <w:r w:rsidR="00C3157A" w:rsidRPr="00C3157A">
        <w:rPr>
          <w:rFonts w:ascii="Times New Roman" w:hAnsi="Times New Roman" w:cs="Times New Roman"/>
          <w:sz w:val="24"/>
          <w:szCs w:val="24"/>
        </w:rPr>
        <w:t xml:space="preserve">, </w:t>
      </w:r>
      <w:bookmarkStart w:id="3" w:name="_Hlk147387825"/>
      <w:r w:rsidR="00C3157A" w:rsidRPr="00C3157A">
        <w:rPr>
          <w:rFonts w:ascii="Times New Roman" w:hAnsi="Times New Roman" w:cs="Times New Roman"/>
          <w:sz w:val="24"/>
          <w:szCs w:val="24"/>
        </w:rPr>
        <w:t>61 F.4th</w:t>
      </w:r>
      <w:bookmarkEnd w:id="3"/>
      <w:r w:rsidR="00C3157A" w:rsidRPr="00C3157A">
        <w:rPr>
          <w:rFonts w:ascii="Times New Roman" w:hAnsi="Times New Roman" w:cs="Times New Roman"/>
          <w:sz w:val="24"/>
          <w:szCs w:val="24"/>
        </w:rPr>
        <w:t xml:space="preserve"> 663 (9th Cir. 2023), that the plaintiff’s </w:t>
      </w:r>
      <w:r w:rsidR="00C3157A" w:rsidRPr="00C3157A">
        <w:rPr>
          <w:rFonts w:ascii="Times New Roman" w:hAnsi="Times New Roman" w:cs="Times New Roman"/>
          <w:i/>
          <w:iCs/>
          <w:sz w:val="24"/>
          <w:szCs w:val="24"/>
        </w:rPr>
        <w:t>Bivens</w:t>
      </w:r>
      <w:r w:rsidR="00C3157A" w:rsidRPr="00C3157A">
        <w:rPr>
          <w:rFonts w:ascii="Times New Roman" w:hAnsi="Times New Roman" w:cs="Times New Roman"/>
          <w:sz w:val="24"/>
          <w:szCs w:val="24"/>
        </w:rPr>
        <w:t xml:space="preserve"> excessive force claim against Bureau of Land Management (BLM) agents created a new context because the alleged conduct occurred on public lands, not in the plaintiff’s home, and a Fourth Amendment claim against BLM agents would have “systemwide consequences” for BLM’s mandate to maintain order on public lands.  Further, in </w:t>
      </w:r>
      <w:r w:rsidR="00C3157A" w:rsidRPr="00C3157A">
        <w:rPr>
          <w:rFonts w:ascii="Times New Roman" w:hAnsi="Times New Roman" w:cs="Times New Roman"/>
          <w:i/>
          <w:iCs/>
          <w:sz w:val="24"/>
          <w:szCs w:val="24"/>
        </w:rPr>
        <w:t xml:space="preserve">Harper v. </w:t>
      </w:r>
      <w:proofErr w:type="spellStart"/>
      <w:r w:rsidR="00C3157A" w:rsidRPr="00C3157A">
        <w:rPr>
          <w:rFonts w:ascii="Times New Roman" w:hAnsi="Times New Roman" w:cs="Times New Roman"/>
          <w:i/>
          <w:iCs/>
          <w:sz w:val="24"/>
          <w:szCs w:val="24"/>
        </w:rPr>
        <w:t>Nedd</w:t>
      </w:r>
      <w:proofErr w:type="spellEnd"/>
      <w:r w:rsidR="00C3157A" w:rsidRPr="00C3157A">
        <w:rPr>
          <w:rFonts w:ascii="Times New Roman" w:hAnsi="Times New Roman" w:cs="Times New Roman"/>
          <w:sz w:val="24"/>
          <w:szCs w:val="24"/>
        </w:rPr>
        <w:t xml:space="preserve">, 71 F.4th 1181 (9th Cir. 2023), the court held that the plaintiff’s Fifth Amendment due process </w:t>
      </w:r>
      <w:r w:rsidR="00C3157A" w:rsidRPr="00C3157A">
        <w:rPr>
          <w:rFonts w:ascii="Times New Roman" w:hAnsi="Times New Roman" w:cs="Times New Roman"/>
          <w:i/>
          <w:iCs/>
          <w:sz w:val="24"/>
          <w:szCs w:val="24"/>
        </w:rPr>
        <w:t>Bivens</w:t>
      </w:r>
      <w:r w:rsidR="00C3157A" w:rsidRPr="00C3157A">
        <w:rPr>
          <w:rFonts w:ascii="Times New Roman" w:hAnsi="Times New Roman" w:cs="Times New Roman"/>
          <w:sz w:val="24"/>
          <w:szCs w:val="24"/>
        </w:rPr>
        <w:t xml:space="preserve"> claim presented a new context from </w:t>
      </w:r>
      <w:r w:rsidR="00C3157A" w:rsidRPr="00C3157A">
        <w:rPr>
          <w:rFonts w:ascii="Times New Roman" w:hAnsi="Times New Roman" w:cs="Times New Roman"/>
          <w:i/>
          <w:iCs/>
          <w:sz w:val="24"/>
          <w:szCs w:val="24"/>
        </w:rPr>
        <w:t>Davis</w:t>
      </w:r>
      <w:r w:rsidR="00C3157A" w:rsidRPr="00C3157A">
        <w:rPr>
          <w:rFonts w:ascii="Times New Roman" w:hAnsi="Times New Roman" w:cs="Times New Roman"/>
          <w:sz w:val="24"/>
          <w:szCs w:val="24"/>
        </w:rPr>
        <w:t xml:space="preserve">, because the claim involved a new category of defendants and the legal mandate the BLM officers were operating under (the Civil Service Reform Act of 1978 (CSRA)) was different from the one in </w:t>
      </w:r>
      <w:r w:rsidR="00C3157A" w:rsidRPr="00C3157A">
        <w:rPr>
          <w:rFonts w:ascii="Times New Roman" w:hAnsi="Times New Roman" w:cs="Times New Roman"/>
          <w:i/>
          <w:iCs/>
          <w:sz w:val="24"/>
          <w:szCs w:val="24"/>
        </w:rPr>
        <w:t>Davis</w:t>
      </w:r>
      <w:r w:rsidR="00C3157A" w:rsidRPr="00C3157A">
        <w:rPr>
          <w:rFonts w:ascii="Times New Roman" w:hAnsi="Times New Roman" w:cs="Times New Roman"/>
          <w:sz w:val="24"/>
          <w:szCs w:val="24"/>
        </w:rPr>
        <w:t>.</w:t>
      </w:r>
    </w:p>
    <w:bookmarkEnd w:id="2"/>
    <w:p w14:paraId="67AF0CAA" w14:textId="77777777" w:rsidR="00C3157A" w:rsidRDefault="00C3157A" w:rsidP="003108A6">
      <w:pPr>
        <w:autoSpaceDE w:val="0"/>
        <w:autoSpaceDN w:val="0"/>
        <w:adjustRightInd w:val="0"/>
        <w:spacing w:after="0" w:line="240" w:lineRule="auto"/>
        <w:rPr>
          <w:rFonts w:ascii="Times New Roman" w:hAnsi="Times New Roman" w:cs="Times New Roman"/>
          <w:sz w:val="24"/>
          <w:szCs w:val="24"/>
        </w:rPr>
      </w:pPr>
    </w:p>
    <w:p w14:paraId="653E704D" w14:textId="09AABC26" w:rsidR="003108A6" w:rsidRPr="001E4D31" w:rsidRDefault="00864BC1" w:rsidP="00361D9D">
      <w:pPr>
        <w:autoSpaceDE w:val="0"/>
        <w:autoSpaceDN w:val="0"/>
        <w:adjustRightInd w:val="0"/>
        <w:spacing w:after="0" w:line="240" w:lineRule="auto"/>
        <w:ind w:firstLine="720"/>
        <w:rPr>
          <w:rFonts w:ascii="Times New Roman" w:hAnsi="Times New Roman" w:cs="Times New Roman"/>
          <w:sz w:val="24"/>
          <w:szCs w:val="24"/>
        </w:rPr>
      </w:pPr>
      <w:r w:rsidRPr="00E820B6">
        <w:rPr>
          <w:rFonts w:ascii="Times New Roman" w:hAnsi="Times New Roman" w:cs="Times New Roman"/>
          <w:sz w:val="24"/>
          <w:szCs w:val="24"/>
        </w:rPr>
        <w:t xml:space="preserve">If the answer at the first step is yes, meaning that the “claim arises in a new context,” the second step dictates that “a </w:t>
      </w:r>
      <w:r w:rsidRPr="00E820B6">
        <w:rPr>
          <w:rFonts w:ascii="Times New Roman" w:hAnsi="Times New Roman" w:cs="Times New Roman"/>
          <w:i/>
          <w:iCs/>
          <w:sz w:val="24"/>
          <w:szCs w:val="24"/>
        </w:rPr>
        <w:t xml:space="preserve">Bivens </w:t>
      </w:r>
      <w:r w:rsidRPr="00E820B6">
        <w:rPr>
          <w:rFonts w:ascii="Times New Roman" w:hAnsi="Times New Roman" w:cs="Times New Roman"/>
          <w:sz w:val="24"/>
          <w:szCs w:val="24"/>
        </w:rPr>
        <w:t xml:space="preserve">remedy is unavailable if there are ‘special factors’ indicating that the Judiciary is at least arguably less equipped than Congress to ‘weigh the costs and benefits of allowing a damages action to proceed.’”  </w:t>
      </w:r>
      <w:r w:rsidRPr="00E820B6">
        <w:rPr>
          <w:rFonts w:ascii="Times New Roman" w:hAnsi="Times New Roman" w:cs="Times New Roman"/>
          <w:i/>
          <w:iCs/>
          <w:sz w:val="24"/>
          <w:szCs w:val="24"/>
        </w:rPr>
        <w:t>Id</w:t>
      </w:r>
      <w:r w:rsidRPr="00E820B6">
        <w:rPr>
          <w:rFonts w:ascii="Times New Roman" w:hAnsi="Times New Roman" w:cs="Times New Roman"/>
          <w:sz w:val="24"/>
          <w:szCs w:val="24"/>
        </w:rPr>
        <w:t xml:space="preserve">. at 1803 (quoting </w:t>
      </w:r>
      <w:r w:rsidRPr="00E820B6">
        <w:rPr>
          <w:rFonts w:ascii="Times New Roman" w:hAnsi="Times New Roman" w:cs="Times New Roman"/>
          <w:i/>
          <w:iCs/>
          <w:sz w:val="24"/>
          <w:szCs w:val="24"/>
        </w:rPr>
        <w:t>Ziglar,</w:t>
      </w:r>
      <w:r w:rsidRPr="00E820B6">
        <w:rPr>
          <w:rFonts w:ascii="Times New Roman" w:hAnsi="Times New Roman" w:cs="Times New Roman"/>
          <w:sz w:val="24"/>
          <w:szCs w:val="24"/>
        </w:rPr>
        <w:t xml:space="preserve"> 137 </w:t>
      </w:r>
      <w:proofErr w:type="spellStart"/>
      <w:r w:rsidRPr="00E820B6">
        <w:rPr>
          <w:rFonts w:ascii="Times New Roman" w:hAnsi="Times New Roman" w:cs="Times New Roman"/>
          <w:sz w:val="24"/>
          <w:szCs w:val="24"/>
        </w:rPr>
        <w:t>S.Ct</w:t>
      </w:r>
      <w:proofErr w:type="spellEnd"/>
      <w:r w:rsidRPr="00E820B6">
        <w:rPr>
          <w:rFonts w:ascii="Times New Roman" w:hAnsi="Times New Roman" w:cs="Times New Roman"/>
          <w:sz w:val="24"/>
          <w:szCs w:val="24"/>
        </w:rPr>
        <w:t xml:space="preserve">. at 1858).  “If there is even a single ‘reason to pause before applying Bivens in a new context,’ a court may not recognize a Bivens remedy.”  </w:t>
      </w:r>
      <w:r w:rsidRPr="00E820B6">
        <w:rPr>
          <w:rFonts w:ascii="Times New Roman" w:hAnsi="Times New Roman" w:cs="Times New Roman"/>
          <w:i/>
          <w:iCs/>
          <w:sz w:val="24"/>
          <w:szCs w:val="24"/>
        </w:rPr>
        <w:t>Id.</w:t>
      </w:r>
      <w:r w:rsidRPr="00E820B6">
        <w:rPr>
          <w:rFonts w:ascii="Times New Roman" w:hAnsi="Times New Roman" w:cs="Times New Roman"/>
          <w:sz w:val="24"/>
          <w:szCs w:val="24"/>
        </w:rPr>
        <w:t xml:space="preserve"> (quoting </w:t>
      </w:r>
      <w:r w:rsidRPr="00E820B6">
        <w:rPr>
          <w:rFonts w:ascii="Times New Roman" w:hAnsi="Times New Roman" w:cs="Times New Roman"/>
          <w:i/>
          <w:iCs/>
          <w:sz w:val="24"/>
          <w:szCs w:val="24"/>
        </w:rPr>
        <w:t>Hernández v. Mesa</w:t>
      </w:r>
      <w:r w:rsidRPr="00E820B6">
        <w:rPr>
          <w:rFonts w:ascii="Times New Roman" w:hAnsi="Times New Roman" w:cs="Times New Roman"/>
          <w:sz w:val="24"/>
          <w:szCs w:val="24"/>
        </w:rPr>
        <w:t xml:space="preserve">, 140 </w:t>
      </w:r>
      <w:proofErr w:type="spellStart"/>
      <w:r w:rsidRPr="00E820B6">
        <w:rPr>
          <w:rFonts w:ascii="Times New Roman" w:hAnsi="Times New Roman" w:cs="Times New Roman"/>
          <w:sz w:val="24"/>
          <w:szCs w:val="24"/>
        </w:rPr>
        <w:t>S.Ct</w:t>
      </w:r>
      <w:proofErr w:type="spellEnd"/>
      <w:r w:rsidRPr="00E820B6">
        <w:rPr>
          <w:rFonts w:ascii="Times New Roman" w:hAnsi="Times New Roman" w:cs="Times New Roman"/>
          <w:sz w:val="24"/>
          <w:szCs w:val="24"/>
        </w:rPr>
        <w:t xml:space="preserve">. 735, 743 (2020)).  For example, “a court may not fashion a </w:t>
      </w:r>
      <w:r w:rsidRPr="00E820B6">
        <w:rPr>
          <w:rFonts w:ascii="Times New Roman" w:hAnsi="Times New Roman" w:cs="Times New Roman"/>
          <w:i/>
          <w:iCs/>
          <w:sz w:val="24"/>
          <w:szCs w:val="24"/>
        </w:rPr>
        <w:t xml:space="preserve">Bivens </w:t>
      </w:r>
      <w:r w:rsidRPr="00E820B6">
        <w:rPr>
          <w:rFonts w:ascii="Times New Roman" w:hAnsi="Times New Roman" w:cs="Times New Roman"/>
          <w:sz w:val="24"/>
          <w:szCs w:val="24"/>
        </w:rPr>
        <w:t xml:space="preserve">remedy if Congress already has provided, or has authorized the Executive to provide, ‘an alternative remedial structure.’”  </w:t>
      </w:r>
      <w:r w:rsidRPr="00E820B6">
        <w:rPr>
          <w:rFonts w:ascii="Times New Roman" w:hAnsi="Times New Roman" w:cs="Times New Roman"/>
          <w:i/>
          <w:iCs/>
          <w:sz w:val="24"/>
          <w:szCs w:val="24"/>
        </w:rPr>
        <w:t xml:space="preserve">Id. </w:t>
      </w:r>
      <w:r w:rsidRPr="00E820B6">
        <w:rPr>
          <w:rFonts w:ascii="Times New Roman" w:hAnsi="Times New Roman" w:cs="Times New Roman"/>
          <w:sz w:val="24"/>
          <w:szCs w:val="24"/>
        </w:rPr>
        <w:t xml:space="preserve">(quoting </w:t>
      </w:r>
      <w:r w:rsidRPr="00E820B6">
        <w:rPr>
          <w:rFonts w:ascii="Times New Roman" w:hAnsi="Times New Roman" w:cs="Times New Roman"/>
          <w:i/>
          <w:iCs/>
          <w:sz w:val="24"/>
          <w:szCs w:val="24"/>
        </w:rPr>
        <w:t>Ziglar,</w:t>
      </w:r>
      <w:r w:rsidRPr="00E820B6">
        <w:rPr>
          <w:rFonts w:ascii="Times New Roman" w:hAnsi="Times New Roman" w:cs="Times New Roman"/>
          <w:sz w:val="24"/>
          <w:szCs w:val="24"/>
        </w:rPr>
        <w:t xml:space="preserve"> 137 S. Ct. at 1858).  </w:t>
      </w:r>
      <w:r w:rsidR="00862023" w:rsidRPr="00862023">
        <w:rPr>
          <w:rFonts w:ascii="Times New Roman" w:hAnsi="Times New Roman" w:cs="Times New Roman"/>
          <w:sz w:val="24"/>
          <w:szCs w:val="24"/>
        </w:rPr>
        <w:t xml:space="preserve">The existence of an alternative remedial structure precludes a </w:t>
      </w:r>
      <w:r w:rsidR="00862023" w:rsidRPr="00862023">
        <w:rPr>
          <w:rFonts w:ascii="Times New Roman" w:hAnsi="Times New Roman" w:cs="Times New Roman"/>
          <w:i/>
          <w:iCs/>
          <w:sz w:val="24"/>
          <w:szCs w:val="24"/>
        </w:rPr>
        <w:t xml:space="preserve">Bivens </w:t>
      </w:r>
      <w:r w:rsidR="00862023" w:rsidRPr="00862023">
        <w:rPr>
          <w:rFonts w:ascii="Times New Roman" w:hAnsi="Times New Roman" w:cs="Times New Roman"/>
          <w:sz w:val="24"/>
          <w:szCs w:val="24"/>
        </w:rPr>
        <w:t xml:space="preserve">action even where the available remedial scheme does not provide monetary relief. </w:t>
      </w:r>
      <w:r w:rsidR="00862023">
        <w:rPr>
          <w:rFonts w:ascii="Times New Roman" w:hAnsi="Times New Roman" w:cs="Times New Roman"/>
          <w:sz w:val="24"/>
          <w:szCs w:val="24"/>
        </w:rPr>
        <w:t xml:space="preserve"> </w:t>
      </w:r>
      <w:r w:rsidR="00862023" w:rsidRPr="00862023">
        <w:rPr>
          <w:rFonts w:ascii="Times New Roman" w:hAnsi="Times New Roman" w:cs="Times New Roman"/>
          <w:i/>
          <w:iCs/>
          <w:sz w:val="24"/>
          <w:szCs w:val="24"/>
        </w:rPr>
        <w:t>Pettibone v. Russell</w:t>
      </w:r>
      <w:r w:rsidR="00862023" w:rsidRPr="00862023">
        <w:rPr>
          <w:rFonts w:ascii="Times New Roman" w:hAnsi="Times New Roman" w:cs="Times New Roman"/>
          <w:sz w:val="24"/>
          <w:szCs w:val="24"/>
        </w:rPr>
        <w:t xml:space="preserve">, 59 F.4th 449, </w:t>
      </w:r>
      <w:r w:rsidR="00862023">
        <w:rPr>
          <w:rFonts w:ascii="Times New Roman" w:hAnsi="Times New Roman" w:cs="Times New Roman"/>
          <w:sz w:val="24"/>
          <w:szCs w:val="24"/>
        </w:rPr>
        <w:t>457</w:t>
      </w:r>
      <w:r w:rsidR="00862023" w:rsidRPr="00862023">
        <w:rPr>
          <w:rFonts w:ascii="Times New Roman" w:hAnsi="Times New Roman" w:cs="Times New Roman"/>
          <w:sz w:val="24"/>
          <w:szCs w:val="24"/>
        </w:rPr>
        <w:t xml:space="preserve"> (9th Cir. 2023) (quoting </w:t>
      </w:r>
      <w:r w:rsidR="00862023" w:rsidRPr="00862023">
        <w:rPr>
          <w:rFonts w:ascii="Times New Roman" w:hAnsi="Times New Roman" w:cs="Times New Roman"/>
          <w:i/>
          <w:iCs/>
          <w:sz w:val="24"/>
          <w:szCs w:val="24"/>
        </w:rPr>
        <w:t>Egbert</w:t>
      </w:r>
      <w:r w:rsidR="00862023" w:rsidRPr="00862023">
        <w:rPr>
          <w:rFonts w:ascii="Times New Roman" w:hAnsi="Times New Roman" w:cs="Times New Roman"/>
          <w:sz w:val="24"/>
          <w:szCs w:val="24"/>
        </w:rPr>
        <w:t xml:space="preserve">, 142 </w:t>
      </w:r>
      <w:proofErr w:type="spellStart"/>
      <w:r w:rsidR="00862023" w:rsidRPr="00862023">
        <w:rPr>
          <w:rFonts w:ascii="Times New Roman" w:hAnsi="Times New Roman" w:cs="Times New Roman"/>
          <w:sz w:val="24"/>
          <w:szCs w:val="24"/>
        </w:rPr>
        <w:t>S.Ct</w:t>
      </w:r>
      <w:proofErr w:type="spellEnd"/>
      <w:r w:rsidR="00862023" w:rsidRPr="00862023">
        <w:rPr>
          <w:rFonts w:ascii="Times New Roman" w:hAnsi="Times New Roman" w:cs="Times New Roman"/>
          <w:sz w:val="24"/>
          <w:szCs w:val="24"/>
        </w:rPr>
        <w:t>. at 1806).</w:t>
      </w:r>
      <w:r w:rsidR="00862023">
        <w:rPr>
          <w:rFonts w:ascii="Times New Roman" w:hAnsi="Times New Roman" w:cs="Times New Roman"/>
          <w:sz w:val="24"/>
          <w:szCs w:val="24"/>
        </w:rPr>
        <w:t xml:space="preserve">  </w:t>
      </w:r>
      <w:bookmarkStart w:id="4" w:name="_Hlk147387157"/>
      <w:r w:rsidRPr="00E820B6">
        <w:rPr>
          <w:rFonts w:ascii="Times New Roman" w:hAnsi="Times New Roman" w:cs="Times New Roman"/>
          <w:sz w:val="24"/>
          <w:szCs w:val="24"/>
        </w:rPr>
        <w:t xml:space="preserve">Nor may a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cause of action lie “where . . . national security is at issue.”  </w:t>
      </w:r>
      <w:r w:rsidR="00862023" w:rsidRPr="00862023">
        <w:rPr>
          <w:rFonts w:ascii="Times New Roman" w:hAnsi="Times New Roman" w:cs="Times New Roman"/>
          <w:i/>
          <w:iCs/>
          <w:sz w:val="24"/>
          <w:szCs w:val="24"/>
        </w:rPr>
        <w:t>Egbert</w:t>
      </w:r>
      <w:r w:rsidR="00862023" w:rsidRPr="00303188">
        <w:rPr>
          <w:rFonts w:ascii="Times New Roman" w:hAnsi="Times New Roman" w:cs="Times New Roman"/>
          <w:sz w:val="24"/>
          <w:szCs w:val="24"/>
        </w:rPr>
        <w:t xml:space="preserve">, 142 </w:t>
      </w:r>
      <w:proofErr w:type="spellStart"/>
      <w:r w:rsidR="00862023" w:rsidRPr="00303188">
        <w:rPr>
          <w:rFonts w:ascii="Times New Roman" w:hAnsi="Times New Roman" w:cs="Times New Roman"/>
          <w:sz w:val="24"/>
          <w:szCs w:val="24"/>
        </w:rPr>
        <w:t>S.Ct</w:t>
      </w:r>
      <w:proofErr w:type="spellEnd"/>
      <w:r w:rsidR="00862023" w:rsidRPr="00303188">
        <w:rPr>
          <w:rFonts w:ascii="Times New Roman" w:hAnsi="Times New Roman" w:cs="Times New Roman"/>
          <w:sz w:val="24"/>
          <w:szCs w:val="24"/>
        </w:rPr>
        <w:t>.</w:t>
      </w:r>
      <w:r w:rsidRPr="0042011B">
        <w:rPr>
          <w:rFonts w:ascii="Times New Roman" w:hAnsi="Times New Roman" w:cs="Times New Roman"/>
          <w:sz w:val="24"/>
          <w:szCs w:val="24"/>
        </w:rPr>
        <w:t xml:space="preserve"> </w:t>
      </w:r>
      <w:proofErr w:type="gramStart"/>
      <w:r w:rsidRPr="00E820B6">
        <w:rPr>
          <w:rFonts w:ascii="Times New Roman" w:hAnsi="Times New Roman" w:cs="Times New Roman"/>
          <w:sz w:val="24"/>
          <w:szCs w:val="24"/>
        </w:rPr>
        <w:t>at</w:t>
      </w:r>
      <w:proofErr w:type="gramEnd"/>
      <w:r w:rsidRPr="00E820B6">
        <w:rPr>
          <w:rFonts w:ascii="Times New Roman" w:hAnsi="Times New Roman" w:cs="Times New Roman"/>
          <w:sz w:val="24"/>
          <w:szCs w:val="24"/>
        </w:rPr>
        <w:t xml:space="preserve"> 1804.  </w:t>
      </w:r>
      <w:r w:rsidR="00862023" w:rsidRPr="00862023">
        <w:rPr>
          <w:rFonts w:ascii="Times New Roman" w:hAnsi="Times New Roman" w:cs="Times New Roman"/>
          <w:i/>
          <w:iCs/>
          <w:sz w:val="24"/>
          <w:szCs w:val="24"/>
        </w:rPr>
        <w:t>See also Pettibone</w:t>
      </w:r>
      <w:r w:rsidR="00862023" w:rsidRPr="00862023">
        <w:rPr>
          <w:rFonts w:ascii="Times New Roman" w:hAnsi="Times New Roman" w:cs="Times New Roman"/>
          <w:sz w:val="24"/>
          <w:szCs w:val="24"/>
        </w:rPr>
        <w:t>,</w:t>
      </w:r>
      <w:r w:rsidR="00862023" w:rsidRPr="00862023">
        <w:rPr>
          <w:rFonts w:ascii="Times New Roman" w:eastAsiaTheme="minorEastAsia" w:hAnsi="Times New Roman" w:cs="Times New Roman"/>
          <w:sz w:val="28"/>
          <w:szCs w:val="28"/>
        </w:rPr>
        <w:t xml:space="preserve"> </w:t>
      </w:r>
      <w:r w:rsidR="00862023" w:rsidRPr="00862023">
        <w:rPr>
          <w:rFonts w:ascii="Times New Roman" w:hAnsi="Times New Roman" w:cs="Times New Roman"/>
          <w:sz w:val="24"/>
          <w:szCs w:val="24"/>
        </w:rPr>
        <w:t xml:space="preserve">59 F.4th </w:t>
      </w:r>
      <w:r w:rsidR="00862023">
        <w:rPr>
          <w:rFonts w:ascii="Times New Roman" w:hAnsi="Times New Roman" w:cs="Times New Roman"/>
          <w:sz w:val="24"/>
          <w:szCs w:val="24"/>
        </w:rPr>
        <w:t>at</w:t>
      </w:r>
      <w:r w:rsidR="00862023" w:rsidRPr="00862023">
        <w:rPr>
          <w:rFonts w:ascii="Times New Roman" w:hAnsi="Times New Roman" w:cs="Times New Roman"/>
          <w:sz w:val="24"/>
          <w:szCs w:val="24"/>
        </w:rPr>
        <w:t xml:space="preserve"> </w:t>
      </w:r>
      <w:r w:rsidR="00862023">
        <w:rPr>
          <w:rFonts w:ascii="Times New Roman" w:hAnsi="Times New Roman" w:cs="Times New Roman"/>
          <w:sz w:val="24"/>
          <w:szCs w:val="24"/>
        </w:rPr>
        <w:t xml:space="preserve">455 </w:t>
      </w:r>
      <w:r w:rsidR="00862023" w:rsidRPr="00862023">
        <w:rPr>
          <w:rFonts w:ascii="Times New Roman" w:hAnsi="Times New Roman" w:cs="Times New Roman"/>
          <w:sz w:val="24"/>
          <w:szCs w:val="24"/>
        </w:rPr>
        <w:t xml:space="preserve">(quoting </w:t>
      </w:r>
      <w:r w:rsidR="00862023" w:rsidRPr="00862023">
        <w:rPr>
          <w:rFonts w:ascii="Times New Roman" w:hAnsi="Times New Roman" w:cs="Times New Roman"/>
          <w:i/>
          <w:iCs/>
          <w:sz w:val="24"/>
          <w:szCs w:val="24"/>
        </w:rPr>
        <w:t>Ziglar</w:t>
      </w:r>
      <w:r w:rsidR="00862023" w:rsidRPr="00862023">
        <w:rPr>
          <w:rFonts w:ascii="Times New Roman" w:hAnsi="Times New Roman" w:cs="Times New Roman"/>
          <w:sz w:val="24"/>
          <w:szCs w:val="24"/>
        </w:rPr>
        <w:t xml:space="preserve">, 137 S. Ct. at 1860) (holding that </w:t>
      </w:r>
      <w:r w:rsidR="00862023" w:rsidRPr="00862023">
        <w:rPr>
          <w:rFonts w:ascii="Times New Roman" w:hAnsi="Times New Roman" w:cs="Times New Roman"/>
          <w:i/>
          <w:iCs/>
          <w:sz w:val="24"/>
          <w:szCs w:val="24"/>
        </w:rPr>
        <w:t xml:space="preserve">Bivens </w:t>
      </w:r>
      <w:r w:rsidR="00862023" w:rsidRPr="00862023">
        <w:rPr>
          <w:rFonts w:ascii="Times New Roman" w:hAnsi="Times New Roman" w:cs="Times New Roman"/>
          <w:sz w:val="24"/>
          <w:szCs w:val="24"/>
        </w:rPr>
        <w:t xml:space="preserve">remedy cannot be extended where, </w:t>
      </w:r>
      <w:r w:rsidR="00862023" w:rsidRPr="00862023">
        <w:rPr>
          <w:rFonts w:ascii="Times New Roman" w:hAnsi="Times New Roman" w:cs="Times New Roman"/>
          <w:i/>
          <w:iCs/>
          <w:sz w:val="24"/>
          <w:szCs w:val="24"/>
        </w:rPr>
        <w:t>“</w:t>
      </w:r>
      <w:r w:rsidR="00862023" w:rsidRPr="00862023">
        <w:rPr>
          <w:rFonts w:ascii="Times New Roman" w:hAnsi="Times New Roman" w:cs="Times New Roman"/>
          <w:sz w:val="24"/>
          <w:szCs w:val="24"/>
        </w:rPr>
        <w:t xml:space="preserve">because [defendant] was carrying out an executive order, providing a </w:t>
      </w:r>
      <w:r w:rsidR="00862023" w:rsidRPr="00862023">
        <w:rPr>
          <w:rFonts w:ascii="Times New Roman" w:hAnsi="Times New Roman" w:cs="Times New Roman"/>
          <w:i/>
          <w:iCs/>
          <w:sz w:val="24"/>
          <w:szCs w:val="24"/>
        </w:rPr>
        <w:t xml:space="preserve">Bivens </w:t>
      </w:r>
      <w:r w:rsidR="00862023" w:rsidRPr="00862023">
        <w:rPr>
          <w:rFonts w:ascii="Times New Roman" w:hAnsi="Times New Roman" w:cs="Times New Roman"/>
          <w:sz w:val="24"/>
          <w:szCs w:val="24"/>
        </w:rPr>
        <w:t xml:space="preserve">remedy. . . would carry a greater risk of ‘disruptive intrusion by the Judiciary into the functioning of other branches’ than was present in </w:t>
      </w:r>
      <w:r w:rsidR="00862023" w:rsidRPr="00862023">
        <w:rPr>
          <w:rFonts w:ascii="Times New Roman" w:hAnsi="Times New Roman" w:cs="Times New Roman"/>
          <w:i/>
          <w:iCs/>
          <w:sz w:val="24"/>
          <w:szCs w:val="24"/>
        </w:rPr>
        <w:t>Bivens</w:t>
      </w:r>
      <w:r w:rsidR="00862023" w:rsidRPr="00862023">
        <w:rPr>
          <w:rFonts w:ascii="Times New Roman" w:hAnsi="Times New Roman" w:cs="Times New Roman"/>
          <w:sz w:val="24"/>
          <w:szCs w:val="24"/>
        </w:rPr>
        <w:t>”).</w:t>
      </w:r>
      <w:r w:rsidR="00862023">
        <w:rPr>
          <w:rFonts w:ascii="Times New Roman" w:hAnsi="Times New Roman" w:cs="Times New Roman"/>
          <w:sz w:val="24"/>
          <w:szCs w:val="24"/>
        </w:rPr>
        <w:t xml:space="preserve">  </w:t>
      </w:r>
      <w:r w:rsidR="003108A6" w:rsidRPr="00E820B6">
        <w:rPr>
          <w:rFonts w:ascii="Times New Roman" w:hAnsi="Times New Roman" w:cs="Times New Roman"/>
          <w:i/>
          <w:iCs/>
          <w:sz w:val="24"/>
          <w:szCs w:val="24"/>
        </w:rPr>
        <w:t>See also Mejia</w:t>
      </w:r>
      <w:r w:rsidR="0042011B" w:rsidRPr="0042011B">
        <w:rPr>
          <w:rFonts w:ascii="Times New Roman" w:hAnsi="Times New Roman" w:cs="Times New Roman"/>
          <w:sz w:val="24"/>
          <w:szCs w:val="24"/>
        </w:rPr>
        <w:t>, 61 F.4th</w:t>
      </w:r>
      <w:r w:rsidR="0042011B">
        <w:rPr>
          <w:rFonts w:ascii="Times New Roman" w:hAnsi="Times New Roman" w:cs="Times New Roman"/>
          <w:sz w:val="24"/>
          <w:szCs w:val="24"/>
        </w:rPr>
        <w:t xml:space="preserve"> at 669</w:t>
      </w:r>
      <w:r w:rsidR="003108A6" w:rsidRPr="00E820B6">
        <w:rPr>
          <w:rFonts w:ascii="Times New Roman" w:hAnsi="Times New Roman" w:cs="Times New Roman"/>
          <w:sz w:val="24"/>
          <w:szCs w:val="24"/>
        </w:rPr>
        <w:t xml:space="preserve"> (</w:t>
      </w:r>
      <w:r w:rsidR="00C3157A">
        <w:rPr>
          <w:rFonts w:ascii="Times New Roman" w:hAnsi="Times New Roman" w:cs="Times New Roman"/>
          <w:sz w:val="24"/>
          <w:szCs w:val="24"/>
        </w:rPr>
        <w:t>explaining</w:t>
      </w:r>
      <w:r w:rsidR="003108A6" w:rsidRPr="00E820B6">
        <w:rPr>
          <w:rFonts w:ascii="Times New Roman" w:hAnsi="Times New Roman" w:cs="Times New Roman"/>
          <w:sz w:val="24"/>
          <w:szCs w:val="24"/>
        </w:rPr>
        <w:t xml:space="preserve"> plaintiff has alternative</w:t>
      </w:r>
      <w:r w:rsidR="0061634F">
        <w:rPr>
          <w:rFonts w:ascii="Times New Roman" w:hAnsi="Times New Roman" w:cs="Times New Roman"/>
          <w:sz w:val="24"/>
          <w:szCs w:val="24"/>
        </w:rPr>
        <w:t xml:space="preserve"> </w:t>
      </w:r>
      <w:r w:rsidR="003108A6" w:rsidRPr="00E820B6">
        <w:rPr>
          <w:rFonts w:ascii="Times New Roman" w:hAnsi="Times New Roman" w:cs="Times New Roman"/>
          <w:sz w:val="24"/>
          <w:szCs w:val="24"/>
        </w:rPr>
        <w:t>remedies</w:t>
      </w:r>
      <w:r w:rsidR="00C3157A">
        <w:rPr>
          <w:rFonts w:ascii="Times New Roman" w:hAnsi="Times New Roman" w:cs="Times New Roman"/>
          <w:sz w:val="24"/>
          <w:szCs w:val="24"/>
        </w:rPr>
        <w:t xml:space="preserve"> to address his grievance</w:t>
      </w:r>
      <w:r w:rsidR="003108A6" w:rsidRPr="00E820B6">
        <w:rPr>
          <w:rFonts w:ascii="Times New Roman" w:hAnsi="Times New Roman" w:cs="Times New Roman"/>
          <w:sz w:val="24"/>
          <w:szCs w:val="24"/>
        </w:rPr>
        <w:t>)</w:t>
      </w:r>
      <w:r w:rsidR="00361D9D" w:rsidRPr="001E4D31">
        <w:rPr>
          <w:rFonts w:ascii="Times New Roman" w:hAnsi="Times New Roman" w:cs="Times New Roman"/>
          <w:sz w:val="24"/>
          <w:szCs w:val="24"/>
        </w:rPr>
        <w:t xml:space="preserve">; </w:t>
      </w:r>
      <w:r w:rsidR="00361D9D" w:rsidRPr="001E4D31">
        <w:rPr>
          <w:rFonts w:ascii="Times New Roman" w:hAnsi="Times New Roman" w:cs="Times New Roman"/>
          <w:i/>
          <w:iCs/>
          <w:sz w:val="24"/>
          <w:szCs w:val="24"/>
        </w:rPr>
        <w:t xml:space="preserve">Marquez </w:t>
      </w:r>
      <w:r w:rsidR="00361D9D" w:rsidRPr="001E4D31">
        <w:rPr>
          <w:rFonts w:ascii="Times New Roman" w:hAnsi="Times New Roman" w:cs="Times New Roman"/>
          <w:i/>
          <w:iCs/>
          <w:sz w:val="24"/>
          <w:szCs w:val="24"/>
        </w:rPr>
        <w:lastRenderedPageBreak/>
        <w:t>v. Rodriguez</w:t>
      </w:r>
      <w:r w:rsidR="00361D9D" w:rsidRPr="001E4D31">
        <w:rPr>
          <w:rFonts w:ascii="Times New Roman" w:hAnsi="Times New Roman" w:cs="Times New Roman"/>
          <w:sz w:val="24"/>
          <w:szCs w:val="24"/>
        </w:rPr>
        <w:t xml:space="preserve">, 81 F.4th 1027 (9th Cir. 2023) (rejecting the </w:t>
      </w:r>
      <w:r w:rsidR="00361D9D" w:rsidRPr="001E4D31">
        <w:rPr>
          <w:rFonts w:ascii="Times New Roman" w:hAnsi="Times New Roman" w:cs="Times New Roman"/>
          <w:i/>
          <w:iCs/>
          <w:sz w:val="24"/>
          <w:szCs w:val="24"/>
        </w:rPr>
        <w:t xml:space="preserve">Bivens </w:t>
      </w:r>
      <w:r w:rsidR="00361D9D" w:rsidRPr="001E4D31">
        <w:rPr>
          <w:rFonts w:ascii="Times New Roman" w:hAnsi="Times New Roman" w:cs="Times New Roman"/>
          <w:sz w:val="24"/>
          <w:szCs w:val="24"/>
        </w:rPr>
        <w:t xml:space="preserve">claim of a pretrial detainee alleging that federal correctional officers failed to protect him from other detainees because the claim presents a new </w:t>
      </w:r>
      <w:r w:rsidR="00361D9D" w:rsidRPr="001E4D31">
        <w:rPr>
          <w:rFonts w:ascii="Times New Roman" w:hAnsi="Times New Roman" w:cs="Times New Roman"/>
          <w:i/>
          <w:iCs/>
          <w:sz w:val="24"/>
          <w:szCs w:val="24"/>
        </w:rPr>
        <w:t>Bivens</w:t>
      </w:r>
      <w:r w:rsidR="00361D9D" w:rsidRPr="001E4D31">
        <w:rPr>
          <w:rFonts w:ascii="Times New Roman" w:hAnsi="Times New Roman" w:cs="Times New Roman"/>
          <w:sz w:val="24"/>
          <w:szCs w:val="24"/>
        </w:rPr>
        <w:t xml:space="preserve"> context, there were no special factors, and Congress has already legislated on prison administration without providing a damages remedy against jail officials).</w:t>
      </w:r>
    </w:p>
    <w:bookmarkEnd w:id="4"/>
    <w:p w14:paraId="6D58093F" w14:textId="77777777" w:rsidR="00864BC1" w:rsidRPr="00E820B6" w:rsidRDefault="00864BC1" w:rsidP="00864BC1">
      <w:pPr>
        <w:spacing w:after="0" w:line="240" w:lineRule="auto"/>
        <w:rPr>
          <w:rFonts w:ascii="Times New Roman" w:hAnsi="Times New Roman" w:cs="Times New Roman"/>
          <w:sz w:val="24"/>
          <w:szCs w:val="24"/>
        </w:rPr>
      </w:pPr>
    </w:p>
    <w:p w14:paraId="0A5FC335" w14:textId="6567B63D"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 xml:space="preserve">A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defendant is at risk of personal liability, including punitive damages, and a plaintiff is entitled to a jury trial in a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action.  </w:t>
      </w:r>
      <w:r w:rsidRPr="00E820B6">
        <w:rPr>
          <w:rFonts w:ascii="Times New Roman" w:hAnsi="Times New Roman" w:cs="Times New Roman"/>
          <w:i/>
          <w:iCs/>
          <w:sz w:val="24"/>
          <w:szCs w:val="24"/>
        </w:rPr>
        <w:t>See Carlson</w:t>
      </w:r>
      <w:r w:rsidRPr="00E820B6">
        <w:rPr>
          <w:rFonts w:ascii="Times New Roman" w:hAnsi="Times New Roman" w:cs="Times New Roman"/>
          <w:sz w:val="24"/>
          <w:szCs w:val="24"/>
        </w:rPr>
        <w:t xml:space="preserve">, 446 U.S. at 22.  Because a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action is brought against a federal official in the official’s personal capacity, it is not considered to be an action against the United States and thus is not barred by sovereign immunity.</w:t>
      </w:r>
    </w:p>
    <w:p w14:paraId="56C721D8" w14:textId="77777777" w:rsidR="00864BC1" w:rsidRPr="00E820B6" w:rsidRDefault="00864BC1" w:rsidP="00864BC1">
      <w:pPr>
        <w:spacing w:after="0" w:line="240" w:lineRule="auto"/>
        <w:rPr>
          <w:rFonts w:ascii="Times New Roman" w:hAnsi="Times New Roman" w:cs="Times New Roman"/>
          <w:sz w:val="24"/>
          <w:szCs w:val="24"/>
        </w:rPr>
      </w:pPr>
    </w:p>
    <w:p w14:paraId="16D07750" w14:textId="306A3396" w:rsidR="00864BC1" w:rsidRPr="00E820B6" w:rsidRDefault="00864BC1" w:rsidP="00864BC1">
      <w:pPr>
        <w:spacing w:after="0" w:line="240" w:lineRule="auto"/>
        <w:ind w:firstLine="720"/>
        <w:rPr>
          <w:rFonts w:ascii="Times New Roman" w:hAnsi="Times New Roman" w:cs="Times New Roman"/>
          <w:sz w:val="24"/>
          <w:szCs w:val="24"/>
        </w:rPr>
      </w:pPr>
      <w:r w:rsidRPr="00E820B6">
        <w:rPr>
          <w:rFonts w:ascii="Times New Roman" w:hAnsi="Times New Roman" w:cs="Times New Roman"/>
          <w:sz w:val="24"/>
          <w:szCs w:val="24"/>
        </w:rPr>
        <w:t>Use this instruction only in conjunction with an applicable “particular rights” instruction, such as Instructions 9.9–9.33, modified as necessary to reflect that the defendant is a federal actor, not a state actor.  Such an instruction should set forth the additional elements a plaintiff must establish to prove the violation of a particular constitutional right.</w:t>
      </w:r>
    </w:p>
    <w:p w14:paraId="7549CC58" w14:textId="77777777" w:rsidR="00864BC1" w:rsidRPr="00E820B6" w:rsidRDefault="00864BC1" w:rsidP="00864BC1">
      <w:pPr>
        <w:spacing w:after="0" w:line="240" w:lineRule="auto"/>
        <w:ind w:firstLine="720"/>
        <w:rPr>
          <w:rFonts w:ascii="Times New Roman" w:hAnsi="Times New Roman" w:cs="Times New Roman"/>
          <w:sz w:val="24"/>
          <w:szCs w:val="24"/>
        </w:rPr>
      </w:pPr>
    </w:p>
    <w:p w14:paraId="567DEE3C" w14:textId="5C447DEE"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 xml:space="preserve">To be individually liable in a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action, an individual must personally participate in an alleged deprivation of rights.  </w:t>
      </w:r>
      <w:r w:rsidRPr="00E820B6">
        <w:rPr>
          <w:rFonts w:ascii="Times New Roman" w:hAnsi="Times New Roman" w:cs="Times New Roman"/>
          <w:i/>
          <w:iCs/>
          <w:sz w:val="24"/>
          <w:szCs w:val="24"/>
        </w:rPr>
        <w:t>See Avalos v. Baca</w:t>
      </w:r>
      <w:r w:rsidRPr="00E820B6">
        <w:rPr>
          <w:rFonts w:ascii="Times New Roman" w:hAnsi="Times New Roman" w:cs="Times New Roman"/>
          <w:sz w:val="24"/>
          <w:szCs w:val="24"/>
        </w:rPr>
        <w:t xml:space="preserve">, 596 F.3d 583, 587 (9th Cir. 2010).  In a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action, as with</w:t>
      </w:r>
      <w:r w:rsidR="0041234F" w:rsidRPr="00E820B6">
        <w:rPr>
          <w:rFonts w:ascii="Times New Roman" w:hAnsi="Times New Roman" w:cs="Times New Roman"/>
          <w:sz w:val="24"/>
          <w:szCs w:val="24"/>
        </w:rPr>
        <w:t xml:space="preserve"> </w:t>
      </w:r>
      <w:r w:rsidRPr="00E820B6">
        <w:rPr>
          <w:rFonts w:ascii="Times New Roman" w:hAnsi="Times New Roman" w:cs="Times New Roman"/>
          <w:sz w:val="24"/>
          <w:szCs w:val="24"/>
        </w:rPr>
        <w:t>a</w:t>
      </w:r>
      <w:r w:rsidR="0041234F" w:rsidRPr="00E820B6">
        <w:rPr>
          <w:rFonts w:ascii="Times New Roman" w:hAnsi="Times New Roman" w:cs="Times New Roman"/>
          <w:sz w:val="24"/>
          <w:szCs w:val="24"/>
        </w:rPr>
        <w:t xml:space="preserve"> </w:t>
      </w:r>
      <w:r w:rsidRPr="00E820B6">
        <w:rPr>
          <w:rFonts w:ascii="Times New Roman" w:hAnsi="Times New Roman" w:cs="Times New Roman"/>
          <w:sz w:val="24"/>
          <w:szCs w:val="24"/>
        </w:rPr>
        <w:t xml:space="preserve">§ 1983 action, “the plaintiff must also demonstrate that the defendant’s conduct was the actionable cause of the claimed injury.”  </w:t>
      </w:r>
      <w:r w:rsidRPr="00E820B6">
        <w:rPr>
          <w:rFonts w:ascii="Times New Roman" w:hAnsi="Times New Roman" w:cs="Times New Roman"/>
          <w:i/>
          <w:iCs/>
          <w:sz w:val="24"/>
          <w:szCs w:val="24"/>
        </w:rPr>
        <w:t>Harper v. City of Los Angeles</w:t>
      </w:r>
      <w:r w:rsidRPr="00E820B6">
        <w:rPr>
          <w:rFonts w:ascii="Times New Roman" w:hAnsi="Times New Roman" w:cs="Times New Roman"/>
          <w:sz w:val="24"/>
          <w:szCs w:val="24"/>
        </w:rPr>
        <w:t xml:space="preserve">, 533 F.3d 1010, 1026 (9th Cir. 2008).  “To meet this causation requirement, the plaintiff must establish both causation-in-fact and proximate causation.”  </w:t>
      </w:r>
      <w:r w:rsidRPr="00E820B6">
        <w:rPr>
          <w:rFonts w:ascii="Times New Roman" w:hAnsi="Times New Roman" w:cs="Times New Roman"/>
          <w:i/>
          <w:iCs/>
          <w:sz w:val="24"/>
          <w:szCs w:val="24"/>
        </w:rPr>
        <w:t>Id</w:t>
      </w:r>
      <w:r w:rsidRPr="00E820B6">
        <w:rPr>
          <w:rFonts w:ascii="Times New Roman" w:hAnsi="Times New Roman" w:cs="Times New Roman"/>
          <w:sz w:val="24"/>
          <w:szCs w:val="24"/>
        </w:rPr>
        <w:t>.</w:t>
      </w:r>
    </w:p>
    <w:p w14:paraId="1A27C9A2" w14:textId="77777777" w:rsidR="00864BC1" w:rsidRPr="00E820B6" w:rsidRDefault="00864BC1" w:rsidP="00864BC1">
      <w:pPr>
        <w:spacing w:after="0" w:line="240" w:lineRule="auto"/>
        <w:rPr>
          <w:rFonts w:ascii="Times New Roman" w:hAnsi="Times New Roman" w:cs="Times New Roman"/>
          <w:sz w:val="24"/>
          <w:szCs w:val="24"/>
        </w:rPr>
      </w:pPr>
    </w:p>
    <w:p w14:paraId="38295A26" w14:textId="6B53D83A"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 xml:space="preserve">In a </w:t>
      </w:r>
      <w:r w:rsidRPr="00E820B6">
        <w:rPr>
          <w:rFonts w:ascii="Times New Roman" w:hAnsi="Times New Roman" w:cs="Times New Roman"/>
          <w:i/>
          <w:iCs/>
          <w:sz w:val="24"/>
          <w:szCs w:val="24"/>
        </w:rPr>
        <w:t xml:space="preserve">Bivens </w:t>
      </w:r>
      <w:r w:rsidRPr="00E820B6">
        <w:rPr>
          <w:rFonts w:ascii="Times New Roman" w:hAnsi="Times New Roman" w:cs="Times New Roman"/>
          <w:sz w:val="24"/>
          <w:szCs w:val="24"/>
        </w:rPr>
        <w:t xml:space="preserve">action, a supervisor can be held liable in his or her individual capacity only if (1) he or she personally participated in the constitutional violation, or (2) there is a “sufficient causal connection between the supervisor’s wrongful conduct and the constitutional violation.”  </w:t>
      </w:r>
      <w:r w:rsidRPr="00E820B6">
        <w:rPr>
          <w:rFonts w:ascii="Times New Roman" w:hAnsi="Times New Roman" w:cs="Times New Roman"/>
          <w:i/>
          <w:iCs/>
          <w:sz w:val="24"/>
          <w:szCs w:val="24"/>
        </w:rPr>
        <w:t>Hansen v. Black</w:t>
      </w:r>
      <w:r w:rsidRPr="00E820B6">
        <w:rPr>
          <w:rFonts w:ascii="Times New Roman" w:hAnsi="Times New Roman" w:cs="Times New Roman"/>
          <w:sz w:val="24"/>
          <w:szCs w:val="24"/>
        </w:rPr>
        <w:t xml:space="preserve">, 885 F.2d 642, 645-46 (9th Cir. 1989); </w:t>
      </w:r>
      <w:r w:rsidRPr="00E820B6">
        <w:rPr>
          <w:rFonts w:ascii="Times New Roman" w:hAnsi="Times New Roman" w:cs="Times New Roman"/>
          <w:i/>
          <w:iCs/>
          <w:sz w:val="24"/>
          <w:szCs w:val="24"/>
        </w:rPr>
        <w:t>see also Chavez v. United States</w:t>
      </w:r>
      <w:r w:rsidRPr="00E820B6">
        <w:rPr>
          <w:rFonts w:ascii="Times New Roman" w:hAnsi="Times New Roman" w:cs="Times New Roman"/>
          <w:sz w:val="24"/>
          <w:szCs w:val="24"/>
        </w:rPr>
        <w:t>, 683 F.3d 1102, 1110 (9th Cir. 2012) (“[T]</w:t>
      </w:r>
      <w:proofErr w:type="spellStart"/>
      <w:r w:rsidRPr="00E820B6">
        <w:rPr>
          <w:rFonts w:ascii="Times New Roman" w:hAnsi="Times New Roman" w:cs="Times New Roman"/>
          <w:sz w:val="24"/>
          <w:szCs w:val="24"/>
        </w:rPr>
        <w:t>aking</w:t>
      </w:r>
      <w:proofErr w:type="spellEnd"/>
      <w:r w:rsidRPr="00E820B6">
        <w:rPr>
          <w:rFonts w:ascii="Times New Roman" w:hAnsi="Times New Roman" w:cs="Times New Roman"/>
          <w:sz w:val="24"/>
          <w:szCs w:val="24"/>
        </w:rPr>
        <w:t xml:space="preserve"> qualified immunity into account, a supervisor faces liability under the Fourth Amendment only where it would be clear to a reasonable [supervisor] that his conduct was unlawful in the situation he confronted.”) (</w:t>
      </w:r>
      <w:proofErr w:type="gramStart"/>
      <w:r w:rsidRPr="00E820B6">
        <w:rPr>
          <w:rFonts w:ascii="Times New Roman" w:hAnsi="Times New Roman" w:cs="Times New Roman"/>
          <w:sz w:val="24"/>
          <w:szCs w:val="24"/>
        </w:rPr>
        <w:t>quotation</w:t>
      </w:r>
      <w:proofErr w:type="gramEnd"/>
      <w:r w:rsidRPr="00E820B6">
        <w:rPr>
          <w:rFonts w:ascii="Times New Roman" w:hAnsi="Times New Roman" w:cs="Times New Roman"/>
          <w:sz w:val="24"/>
          <w:szCs w:val="24"/>
        </w:rPr>
        <w:t xml:space="preserve"> marks omitted; first brackets added; second brackets in original).  Moreover, for liability to attach, supervisors must have actual supervisory authority over the government actor who committed the alleged violations.  </w:t>
      </w:r>
      <w:r w:rsidRPr="00E820B6">
        <w:rPr>
          <w:rFonts w:ascii="Times New Roman" w:hAnsi="Times New Roman" w:cs="Times New Roman"/>
          <w:i/>
          <w:iCs/>
          <w:sz w:val="24"/>
          <w:szCs w:val="24"/>
        </w:rPr>
        <w:t xml:space="preserve">See </w:t>
      </w:r>
      <w:proofErr w:type="spellStart"/>
      <w:r w:rsidRPr="00E820B6">
        <w:rPr>
          <w:rFonts w:ascii="Times New Roman" w:hAnsi="Times New Roman" w:cs="Times New Roman"/>
          <w:i/>
          <w:iCs/>
          <w:sz w:val="24"/>
          <w:szCs w:val="24"/>
        </w:rPr>
        <w:t>Felarca</w:t>
      </w:r>
      <w:proofErr w:type="spellEnd"/>
      <w:r w:rsidRPr="00E820B6">
        <w:rPr>
          <w:rFonts w:ascii="Times New Roman" w:hAnsi="Times New Roman" w:cs="Times New Roman"/>
          <w:i/>
          <w:iCs/>
          <w:sz w:val="24"/>
          <w:szCs w:val="24"/>
        </w:rPr>
        <w:t xml:space="preserve"> v. Birgeneau</w:t>
      </w:r>
      <w:r w:rsidRPr="00E820B6">
        <w:rPr>
          <w:rFonts w:ascii="Times New Roman" w:hAnsi="Times New Roman" w:cs="Times New Roman"/>
          <w:sz w:val="24"/>
          <w:szCs w:val="24"/>
        </w:rPr>
        <w:t xml:space="preserve">, 891 F.3d 809, 820 (9th Cir. 2018).  In other words, “[t]hey cannot be supervisors of persons beyond their control.”  </w:t>
      </w:r>
      <w:r w:rsidRPr="00E820B6">
        <w:rPr>
          <w:rFonts w:ascii="Times New Roman" w:hAnsi="Times New Roman" w:cs="Times New Roman"/>
          <w:i/>
          <w:iCs/>
          <w:sz w:val="24"/>
          <w:szCs w:val="24"/>
        </w:rPr>
        <w:t>Id</w:t>
      </w:r>
      <w:r w:rsidRPr="00E820B6">
        <w:rPr>
          <w:rFonts w:ascii="Times New Roman" w:hAnsi="Times New Roman" w:cs="Times New Roman"/>
          <w:sz w:val="24"/>
          <w:szCs w:val="24"/>
        </w:rPr>
        <w:t xml:space="preserve">. </w:t>
      </w:r>
    </w:p>
    <w:p w14:paraId="54E42413" w14:textId="77777777" w:rsidR="00864BC1" w:rsidRPr="00E820B6" w:rsidRDefault="00864BC1" w:rsidP="00864BC1">
      <w:pPr>
        <w:spacing w:after="0" w:line="240" w:lineRule="auto"/>
        <w:rPr>
          <w:rFonts w:ascii="Times New Roman" w:hAnsi="Times New Roman" w:cs="Times New Roman"/>
          <w:sz w:val="24"/>
          <w:szCs w:val="24"/>
        </w:rPr>
      </w:pPr>
    </w:p>
    <w:p w14:paraId="2574424B" w14:textId="4EC3FE54"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If the plaintiff alleges that a supervisor personally participated in a constitutional violation, use the instruction shown above.  If, however, the plaintiff alleges that a subordinate committed a constitutional violation and there is a causal connection between the violation and the supervisor’s wrongful conduct, use Instruction 9.4 and replace “state law” with “federal law.”</w:t>
      </w:r>
    </w:p>
    <w:p w14:paraId="5000B228" w14:textId="77777777" w:rsidR="00864BC1" w:rsidRPr="00E820B6" w:rsidRDefault="00864BC1" w:rsidP="00864BC1">
      <w:pPr>
        <w:spacing w:after="0" w:line="240" w:lineRule="auto"/>
        <w:rPr>
          <w:rFonts w:ascii="Times New Roman" w:hAnsi="Times New Roman" w:cs="Times New Roman"/>
          <w:sz w:val="24"/>
          <w:szCs w:val="24"/>
        </w:rPr>
      </w:pPr>
    </w:p>
    <w:p w14:paraId="781FEC98" w14:textId="45BF99F9"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 xml:space="preserve">One of the defenses that may be available to a federal official in a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lawsuit is official immunity from actions for damages.  There are two types of official immunity available as affirmative defenses: absolute and qualified.  Absolute immunity is often granted to judges, prosecutors, legislators, and the President, so long as they are acting within the scope of their duties.  Qualified immunity applies to all other federal officials.  </w:t>
      </w:r>
      <w:r w:rsidRPr="00E820B6">
        <w:rPr>
          <w:rFonts w:ascii="Times New Roman" w:hAnsi="Times New Roman" w:cs="Times New Roman"/>
          <w:i/>
          <w:iCs/>
          <w:sz w:val="24"/>
          <w:szCs w:val="24"/>
        </w:rPr>
        <w:t>See Harlow v. Fitzgerald</w:t>
      </w:r>
      <w:r w:rsidRPr="00E820B6">
        <w:rPr>
          <w:rFonts w:ascii="Times New Roman" w:hAnsi="Times New Roman" w:cs="Times New Roman"/>
          <w:sz w:val="24"/>
          <w:szCs w:val="24"/>
        </w:rPr>
        <w:t xml:space="preserve">, 457 U.S. 800, 807-808 (1982). </w:t>
      </w:r>
    </w:p>
    <w:p w14:paraId="6282BF72" w14:textId="77777777" w:rsidR="00864BC1" w:rsidRPr="00E820B6" w:rsidRDefault="00864BC1" w:rsidP="00864BC1">
      <w:pPr>
        <w:spacing w:after="0" w:line="240" w:lineRule="auto"/>
        <w:rPr>
          <w:rFonts w:ascii="Times New Roman" w:hAnsi="Times New Roman" w:cs="Times New Roman"/>
          <w:sz w:val="24"/>
          <w:szCs w:val="24"/>
        </w:rPr>
      </w:pPr>
    </w:p>
    <w:p w14:paraId="7BC469A4" w14:textId="77777777" w:rsidR="00864BC1" w:rsidRPr="00E820B6" w:rsidRDefault="00864BC1" w:rsidP="00864BC1">
      <w:pPr>
        <w:spacing w:after="0" w:line="240" w:lineRule="auto"/>
        <w:rPr>
          <w:rFonts w:ascii="Times New Roman" w:hAnsi="Times New Roman" w:cs="Times New Roman"/>
          <w:sz w:val="24"/>
          <w:szCs w:val="24"/>
        </w:rPr>
      </w:pPr>
      <w:r w:rsidRPr="00E820B6">
        <w:rPr>
          <w:rFonts w:ascii="Times New Roman" w:hAnsi="Times New Roman" w:cs="Times New Roman"/>
          <w:sz w:val="24"/>
          <w:szCs w:val="24"/>
        </w:rPr>
        <w:tab/>
        <w:t xml:space="preserve">“For purposes of immunity, we have not distinguished actions brought under 42 U.S.C. § 1983 against state officials from </w:t>
      </w:r>
      <w:r w:rsidRPr="00E820B6">
        <w:rPr>
          <w:rFonts w:ascii="Times New Roman" w:hAnsi="Times New Roman" w:cs="Times New Roman"/>
          <w:i/>
          <w:iCs/>
          <w:sz w:val="24"/>
          <w:szCs w:val="24"/>
        </w:rPr>
        <w:t>Bivens</w:t>
      </w:r>
      <w:r w:rsidRPr="00E820B6">
        <w:rPr>
          <w:rFonts w:ascii="Times New Roman" w:hAnsi="Times New Roman" w:cs="Times New Roman"/>
          <w:sz w:val="24"/>
          <w:szCs w:val="24"/>
        </w:rPr>
        <w:t xml:space="preserve"> actions brought against federal officials.”  </w:t>
      </w:r>
      <w:r w:rsidRPr="00E820B6">
        <w:rPr>
          <w:rFonts w:ascii="Times New Roman" w:hAnsi="Times New Roman" w:cs="Times New Roman"/>
          <w:i/>
          <w:iCs/>
          <w:sz w:val="24"/>
          <w:szCs w:val="24"/>
        </w:rPr>
        <w:t>Antoine v. Byers &amp; Anderson, Inc</w:t>
      </w:r>
      <w:r w:rsidRPr="00E820B6">
        <w:rPr>
          <w:rFonts w:ascii="Times New Roman" w:hAnsi="Times New Roman" w:cs="Times New Roman"/>
          <w:sz w:val="24"/>
          <w:szCs w:val="24"/>
        </w:rPr>
        <w:t xml:space="preserve">., 508 U.S. 429, 433 n.5 (1993).  For a discussion of qualified immunity under § 1983, </w:t>
      </w:r>
      <w:r w:rsidRPr="00E820B6">
        <w:rPr>
          <w:rFonts w:ascii="Times New Roman" w:hAnsi="Times New Roman" w:cs="Times New Roman"/>
          <w:i/>
          <w:iCs/>
          <w:sz w:val="24"/>
          <w:szCs w:val="24"/>
        </w:rPr>
        <w:t>see</w:t>
      </w:r>
      <w:r w:rsidRPr="00E820B6">
        <w:rPr>
          <w:rFonts w:ascii="Times New Roman" w:hAnsi="Times New Roman" w:cs="Times New Roman"/>
          <w:sz w:val="24"/>
          <w:szCs w:val="24"/>
        </w:rPr>
        <w:t xml:space="preserve"> Comment at Instruction 9.34.</w:t>
      </w:r>
    </w:p>
    <w:p w14:paraId="47F8AF54" w14:textId="14411FA8" w:rsidR="00864BC1" w:rsidRDefault="00864BC1" w:rsidP="00B54940">
      <w:pPr>
        <w:autoSpaceDE w:val="0"/>
        <w:autoSpaceDN w:val="0"/>
        <w:adjustRightInd w:val="0"/>
        <w:spacing w:after="0" w:line="240" w:lineRule="auto"/>
        <w:rPr>
          <w:rFonts w:ascii="Times New Roman" w:hAnsi="Times New Roman" w:cs="Times New Roman"/>
          <w:sz w:val="24"/>
          <w:szCs w:val="24"/>
        </w:rPr>
      </w:pPr>
    </w:p>
    <w:p w14:paraId="21683903" w14:textId="0F3B464C" w:rsidR="00B84FFB" w:rsidRPr="00B84FFB" w:rsidRDefault="00B84FFB" w:rsidP="00B84FFB">
      <w:pPr>
        <w:autoSpaceDE w:val="0"/>
        <w:autoSpaceDN w:val="0"/>
        <w:adjustRightInd w:val="0"/>
        <w:spacing w:after="0" w:line="240" w:lineRule="auto"/>
        <w:jc w:val="right"/>
        <w:rPr>
          <w:rFonts w:ascii="Times New Roman" w:hAnsi="Times New Roman" w:cs="Times New Roman"/>
          <w:i/>
          <w:iCs/>
          <w:sz w:val="24"/>
          <w:szCs w:val="24"/>
        </w:rPr>
      </w:pPr>
      <w:r w:rsidRPr="00B84FFB">
        <w:rPr>
          <w:rFonts w:ascii="Times New Roman" w:hAnsi="Times New Roman" w:cs="Times New Roman"/>
          <w:i/>
          <w:iCs/>
          <w:sz w:val="24"/>
          <w:szCs w:val="24"/>
        </w:rPr>
        <w:t xml:space="preserve">Revised </w:t>
      </w:r>
      <w:r w:rsidR="00361D9D">
        <w:rPr>
          <w:rFonts w:ascii="Times New Roman" w:hAnsi="Times New Roman" w:cs="Times New Roman"/>
          <w:i/>
          <w:iCs/>
          <w:sz w:val="24"/>
          <w:szCs w:val="24"/>
        </w:rPr>
        <w:t>Dec.</w:t>
      </w:r>
      <w:r w:rsidR="00361D9D" w:rsidRPr="00B84FFB">
        <w:rPr>
          <w:rFonts w:ascii="Times New Roman" w:hAnsi="Times New Roman" w:cs="Times New Roman"/>
          <w:i/>
          <w:iCs/>
          <w:sz w:val="24"/>
          <w:szCs w:val="24"/>
        </w:rPr>
        <w:t xml:space="preserve"> </w:t>
      </w:r>
      <w:r w:rsidRPr="00B84FFB">
        <w:rPr>
          <w:rFonts w:ascii="Times New Roman" w:hAnsi="Times New Roman" w:cs="Times New Roman"/>
          <w:i/>
          <w:iCs/>
          <w:sz w:val="24"/>
          <w:szCs w:val="24"/>
        </w:rPr>
        <w:t>2023</w:t>
      </w:r>
    </w:p>
    <w:sectPr w:rsidR="00B84FFB" w:rsidRPr="00B8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E343B"/>
    <w:multiLevelType w:val="hybridMultilevel"/>
    <w:tmpl w:val="1D34B862"/>
    <w:lvl w:ilvl="0" w:tplc="D562C3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263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C1"/>
    <w:rsid w:val="00020FCC"/>
    <w:rsid w:val="000C6A1A"/>
    <w:rsid w:val="001E4D31"/>
    <w:rsid w:val="002974E9"/>
    <w:rsid w:val="00303188"/>
    <w:rsid w:val="003108A6"/>
    <w:rsid w:val="00361D9D"/>
    <w:rsid w:val="003A6C6F"/>
    <w:rsid w:val="0041234F"/>
    <w:rsid w:val="0042011B"/>
    <w:rsid w:val="005A5415"/>
    <w:rsid w:val="0060762B"/>
    <w:rsid w:val="0061634F"/>
    <w:rsid w:val="007527D1"/>
    <w:rsid w:val="00862023"/>
    <w:rsid w:val="00864BC1"/>
    <w:rsid w:val="00887257"/>
    <w:rsid w:val="00B54940"/>
    <w:rsid w:val="00B84FFB"/>
    <w:rsid w:val="00C3157A"/>
    <w:rsid w:val="00C8376C"/>
    <w:rsid w:val="00E23130"/>
    <w:rsid w:val="00E820B6"/>
    <w:rsid w:val="00F97850"/>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5293"/>
  <w15:chartTrackingRefBased/>
  <w15:docId w15:val="{FBDA2366-C67A-42B3-BC5C-9DAC342E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C1"/>
    <w:pPr>
      <w:ind w:left="720"/>
      <w:contextualSpacing/>
    </w:pPr>
  </w:style>
  <w:style w:type="paragraph" w:styleId="Revision">
    <w:name w:val="Revision"/>
    <w:hidden/>
    <w:uiPriority w:val="99"/>
    <w:semiHidden/>
    <w:rsid w:val="00B54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2024-02-02T18:56:00Z</dcterms:created>
  <dcterms:modified xsi:type="dcterms:W3CDTF">2024-03-25T17:18:00Z</dcterms:modified>
</cp:coreProperties>
</file>