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8CCF2" w14:textId="5BC26BCB" w:rsidR="00272ABA" w:rsidRPr="00272ABA" w:rsidRDefault="00272ABA" w:rsidP="00272ABA">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bookmarkStart w:id="0" w:name="_Toc196481829"/>
      <w:r w:rsidRPr="00272ABA">
        <w:rPr>
          <w:rFonts w:ascii="Times New Roman" w:eastAsia="Calibri" w:hAnsi="Times New Roman" w:cs="Times New Roman"/>
          <w:b/>
          <w:bCs/>
          <w:kern w:val="0"/>
          <w14:ligatures w14:val="none"/>
        </w:rPr>
        <w:t>9.3</w:t>
      </w:r>
      <w:r w:rsidR="009C2346">
        <w:rPr>
          <w:rFonts w:ascii="Times New Roman" w:eastAsia="Calibri" w:hAnsi="Times New Roman" w:cs="Times New Roman"/>
          <w:b/>
          <w:bCs/>
          <w:kern w:val="0"/>
          <w14:ligatures w14:val="none"/>
        </w:rPr>
        <w:t>5</w:t>
      </w:r>
      <w:r w:rsidRPr="00272ABA">
        <w:rPr>
          <w:rFonts w:ascii="Times New Roman" w:eastAsia="Calibri" w:hAnsi="Times New Roman" w:cs="Times New Roman"/>
          <w:b/>
          <w:bCs/>
          <w:kern w:val="0"/>
          <w14:ligatures w14:val="none"/>
        </w:rPr>
        <w:t xml:space="preserve"> Particular Rights—Fourteenth Amendment—Pretrial </w:t>
      </w:r>
      <w:r w:rsidRPr="00272ABA">
        <w:rPr>
          <w:rFonts w:ascii="Times New Roman" w:eastAsia="Calibri" w:hAnsi="Times New Roman" w:cs="Times New Roman"/>
          <w:b/>
          <w:bCs/>
          <w:kern w:val="0"/>
          <w14:ligatures w14:val="none"/>
        </w:rPr>
        <w:br/>
        <w:t>Detainee’s Claim of Failure to Protect</w:t>
      </w:r>
      <w:bookmarkEnd w:id="0"/>
    </w:p>
    <w:p w14:paraId="4A1A9CAA" w14:textId="77777777" w:rsidR="009C2346" w:rsidRPr="009C2346" w:rsidRDefault="009C2346" w:rsidP="009C2346">
      <w:pPr>
        <w:spacing w:after="0" w:line="240" w:lineRule="auto"/>
        <w:rPr>
          <w:rFonts w:ascii="Times New Roman" w:eastAsia="Calibri" w:hAnsi="Times New Roman" w:cs="Times New Roman"/>
          <w:kern w:val="0"/>
          <w14:ligatures w14:val="none"/>
        </w:rPr>
      </w:pPr>
    </w:p>
    <w:p w14:paraId="79F90C08" w14:textId="77777777" w:rsidR="009C2346" w:rsidRPr="009C2346" w:rsidRDefault="009C2346" w:rsidP="009C2346">
      <w:pPr>
        <w:spacing w:after="0" w:line="240" w:lineRule="auto"/>
        <w:rPr>
          <w:rFonts w:ascii="Times New Roman" w:eastAsia="Calibri" w:hAnsi="Times New Roman" w:cs="Times New Roman"/>
          <w:kern w:val="0"/>
          <w14:ligatures w14:val="none"/>
        </w:rPr>
      </w:pPr>
      <w:r w:rsidRPr="009C2346">
        <w:rPr>
          <w:rFonts w:ascii="Times New Roman" w:eastAsia="Calibri" w:hAnsi="Times New Roman" w:cs="Times New Roman"/>
          <w:kern w:val="0"/>
          <w14:ligatures w14:val="none"/>
        </w:rPr>
        <w:tab/>
        <w:t>As previously explained, the plaintiff [</w:t>
      </w:r>
      <w:r w:rsidRPr="009C2346">
        <w:rPr>
          <w:rFonts w:ascii="Times New Roman" w:eastAsia="Calibri" w:hAnsi="Times New Roman" w:cs="Times New Roman"/>
          <w:i/>
          <w:iCs/>
          <w:kern w:val="0"/>
          <w:u w:val="single"/>
          <w14:ligatures w14:val="none"/>
        </w:rPr>
        <w:t>name</w:t>
      </w:r>
      <w:r w:rsidRPr="009C2346">
        <w:rPr>
          <w:rFonts w:ascii="Times New Roman" w:eastAsia="Calibri" w:hAnsi="Times New Roman" w:cs="Times New Roman"/>
          <w:kern w:val="0"/>
          <w14:ligatures w14:val="none"/>
        </w:rPr>
        <w:t>]</w:t>
      </w:r>
      <w:r w:rsidRPr="009C2346">
        <w:rPr>
          <w:rFonts w:ascii="Times New Roman" w:eastAsia="Calibri" w:hAnsi="Times New Roman" w:cs="Times New Roman"/>
          <w:kern w:val="0"/>
          <w:szCs w:val="22"/>
          <w14:ligatures w14:val="none"/>
        </w:rPr>
        <w:t xml:space="preserve"> </w:t>
      </w:r>
      <w:r w:rsidRPr="009C2346">
        <w:rPr>
          <w:rFonts w:ascii="Times New Roman" w:eastAsia="Calibri" w:hAnsi="Times New Roman" w:cs="Times New Roman"/>
          <w:kern w:val="0"/>
          <w14:ligatures w14:val="none"/>
        </w:rPr>
        <w:t>has the burden of proving that the [act[s]] [failure to act] of the defendant [</w:t>
      </w:r>
      <w:r w:rsidRPr="009C2346">
        <w:rPr>
          <w:rFonts w:ascii="Times New Roman" w:eastAsia="Calibri" w:hAnsi="Times New Roman" w:cs="Times New Roman"/>
          <w:i/>
          <w:iCs/>
          <w:kern w:val="0"/>
          <w:u w:val="single"/>
          <w14:ligatures w14:val="none"/>
        </w:rPr>
        <w:t>name</w:t>
      </w:r>
      <w:r w:rsidRPr="009C2346">
        <w:rPr>
          <w:rFonts w:ascii="Times New Roman" w:eastAsia="Calibri" w:hAnsi="Times New Roman" w:cs="Times New Roman"/>
          <w:kern w:val="0"/>
          <w14:ligatures w14:val="none"/>
        </w:rPr>
        <w:t>]</w:t>
      </w:r>
      <w:r w:rsidRPr="009C2346">
        <w:rPr>
          <w:rFonts w:ascii="Times New Roman" w:eastAsia="Calibri" w:hAnsi="Times New Roman" w:cs="Times New Roman"/>
          <w:kern w:val="0"/>
          <w:szCs w:val="22"/>
          <w14:ligatures w14:val="none"/>
        </w:rPr>
        <w:t xml:space="preserve"> </w:t>
      </w:r>
      <w:r w:rsidRPr="009C2346">
        <w:rPr>
          <w:rFonts w:ascii="Times New Roman" w:eastAsia="Calibri" w:hAnsi="Times New Roman" w:cs="Times New Roman"/>
          <w:kern w:val="0"/>
          <w14:ligatures w14:val="none"/>
        </w:rPr>
        <w:t>deprived the plaintiff [</w:t>
      </w:r>
      <w:r w:rsidRPr="009C2346">
        <w:rPr>
          <w:rFonts w:ascii="Times New Roman" w:eastAsia="Calibri" w:hAnsi="Times New Roman" w:cs="Times New Roman"/>
          <w:i/>
          <w:iCs/>
          <w:kern w:val="0"/>
          <w:u w:val="single"/>
          <w14:ligatures w14:val="none"/>
        </w:rPr>
        <w:t>name</w:t>
      </w:r>
      <w:r w:rsidRPr="009C2346">
        <w:rPr>
          <w:rFonts w:ascii="Times New Roman" w:eastAsia="Calibri" w:hAnsi="Times New Roman" w:cs="Times New Roman"/>
          <w:kern w:val="0"/>
          <w14:ligatures w14:val="none"/>
        </w:rPr>
        <w:t>]</w:t>
      </w:r>
      <w:r w:rsidRPr="009C2346">
        <w:rPr>
          <w:rFonts w:ascii="Times New Roman" w:eastAsia="Calibri" w:hAnsi="Times New Roman" w:cs="Times New Roman"/>
          <w:kern w:val="0"/>
          <w:szCs w:val="22"/>
          <w14:ligatures w14:val="none"/>
        </w:rPr>
        <w:t xml:space="preserve"> </w:t>
      </w:r>
      <w:r w:rsidRPr="009C2346">
        <w:rPr>
          <w:rFonts w:ascii="Times New Roman" w:eastAsia="Calibri" w:hAnsi="Times New Roman" w:cs="Times New Roman"/>
          <w:kern w:val="0"/>
          <w14:ligatures w14:val="none"/>
        </w:rPr>
        <w:t xml:space="preserve">of </w:t>
      </w:r>
      <w:proofErr w:type="gramStart"/>
      <w:r w:rsidRPr="009C2346">
        <w:rPr>
          <w:rFonts w:ascii="Times New Roman" w:eastAsia="Calibri" w:hAnsi="Times New Roman" w:cs="Times New Roman"/>
          <w:kern w:val="0"/>
          <w14:ligatures w14:val="none"/>
        </w:rPr>
        <w:t>particular rights</w:t>
      </w:r>
      <w:proofErr w:type="gramEnd"/>
      <w:r w:rsidRPr="009C2346">
        <w:rPr>
          <w:rFonts w:ascii="Times New Roman" w:eastAsia="Calibri" w:hAnsi="Times New Roman" w:cs="Times New Roman"/>
          <w:kern w:val="0"/>
          <w14:ligatures w14:val="none"/>
        </w:rPr>
        <w:t xml:space="preserve"> under the United States Constitution. In this case, the plaintiff [</w:t>
      </w:r>
      <w:r w:rsidRPr="009C2346">
        <w:rPr>
          <w:rFonts w:ascii="Times New Roman" w:eastAsia="Calibri" w:hAnsi="Times New Roman" w:cs="Times New Roman"/>
          <w:i/>
          <w:iCs/>
          <w:kern w:val="0"/>
          <w:u w:val="single"/>
          <w14:ligatures w14:val="none"/>
        </w:rPr>
        <w:t>name</w:t>
      </w:r>
      <w:r w:rsidRPr="009C2346">
        <w:rPr>
          <w:rFonts w:ascii="Times New Roman" w:eastAsia="Calibri" w:hAnsi="Times New Roman" w:cs="Times New Roman"/>
          <w:kern w:val="0"/>
          <w14:ligatures w14:val="none"/>
        </w:rPr>
        <w:t>]</w:t>
      </w:r>
      <w:r w:rsidRPr="009C2346">
        <w:rPr>
          <w:rFonts w:ascii="Times New Roman" w:eastAsia="Calibri" w:hAnsi="Times New Roman" w:cs="Times New Roman"/>
          <w:kern w:val="0"/>
          <w:szCs w:val="22"/>
          <w14:ligatures w14:val="none"/>
        </w:rPr>
        <w:t xml:space="preserve"> </w:t>
      </w:r>
      <w:r w:rsidRPr="009C2346">
        <w:rPr>
          <w:rFonts w:ascii="Times New Roman" w:eastAsia="Calibri" w:hAnsi="Times New Roman" w:cs="Times New Roman"/>
          <w:kern w:val="0"/>
          <w14:ligatures w14:val="none"/>
        </w:rPr>
        <w:t>alleges the defendant [</w:t>
      </w:r>
      <w:r w:rsidRPr="009C2346">
        <w:rPr>
          <w:rFonts w:ascii="Times New Roman" w:eastAsia="Calibri" w:hAnsi="Times New Roman" w:cs="Times New Roman"/>
          <w:i/>
          <w:iCs/>
          <w:kern w:val="0"/>
          <w:u w:val="single"/>
          <w14:ligatures w14:val="none"/>
        </w:rPr>
        <w:t>name</w:t>
      </w:r>
      <w:r w:rsidRPr="009C2346">
        <w:rPr>
          <w:rFonts w:ascii="Times New Roman" w:eastAsia="Calibri" w:hAnsi="Times New Roman" w:cs="Times New Roman"/>
          <w:kern w:val="0"/>
          <w14:ligatures w14:val="none"/>
        </w:rPr>
        <w:t>]</w:t>
      </w:r>
      <w:r w:rsidRPr="009C2346">
        <w:rPr>
          <w:rFonts w:ascii="Times New Roman" w:eastAsia="Calibri" w:hAnsi="Times New Roman" w:cs="Times New Roman"/>
          <w:kern w:val="0"/>
          <w:szCs w:val="22"/>
          <w14:ligatures w14:val="none"/>
        </w:rPr>
        <w:t xml:space="preserve"> </w:t>
      </w:r>
      <w:r w:rsidRPr="009C2346">
        <w:rPr>
          <w:rFonts w:ascii="Times New Roman" w:eastAsia="Calibri" w:hAnsi="Times New Roman" w:cs="Times New Roman"/>
          <w:kern w:val="0"/>
          <w14:ligatures w14:val="none"/>
        </w:rPr>
        <w:t>deprived [him] [her] [</w:t>
      </w:r>
      <w:r w:rsidRPr="009C2346">
        <w:rPr>
          <w:rFonts w:ascii="Times New Roman" w:eastAsia="Calibri" w:hAnsi="Times New Roman" w:cs="Times New Roman"/>
          <w:i/>
          <w:iCs/>
          <w:kern w:val="0"/>
          <w:u w:val="single"/>
          <w14:ligatures w14:val="none"/>
        </w:rPr>
        <w:t>other pronoun</w:t>
      </w:r>
      <w:r w:rsidRPr="009C2346">
        <w:rPr>
          <w:rFonts w:ascii="Times New Roman" w:eastAsia="Calibri" w:hAnsi="Times New Roman" w:cs="Times New Roman"/>
          <w:kern w:val="0"/>
          <w14:ligatures w14:val="none"/>
        </w:rPr>
        <w:t>] of [his] [her] [</w:t>
      </w:r>
      <w:r w:rsidRPr="009C2346">
        <w:rPr>
          <w:rFonts w:ascii="Times New Roman" w:eastAsia="Calibri" w:hAnsi="Times New Roman" w:cs="Times New Roman"/>
          <w:i/>
          <w:iCs/>
          <w:kern w:val="0"/>
          <w:u w:val="single"/>
          <w14:ligatures w14:val="none"/>
        </w:rPr>
        <w:t>other pronoun</w:t>
      </w:r>
      <w:r w:rsidRPr="009C2346">
        <w:rPr>
          <w:rFonts w:ascii="Times New Roman" w:eastAsia="Calibri" w:hAnsi="Times New Roman" w:cs="Times New Roman"/>
          <w:kern w:val="0"/>
          <w14:ligatures w14:val="none"/>
        </w:rPr>
        <w:t>] rights under the Fourteenth Amendment to the Constitution when [</w:t>
      </w:r>
      <w:r w:rsidRPr="009C2346">
        <w:rPr>
          <w:rFonts w:ascii="Times New Roman" w:eastAsia="Calibri" w:hAnsi="Times New Roman" w:cs="Times New Roman"/>
          <w:i/>
          <w:kern w:val="0"/>
          <w:u w:val="single"/>
          <w14:ligatures w14:val="none"/>
        </w:rPr>
        <w:t>insert factual basis of the plaintiff’s claim</w:t>
      </w:r>
      <w:r w:rsidRPr="009C2346">
        <w:rPr>
          <w:rFonts w:ascii="Times New Roman" w:eastAsia="Calibri" w:hAnsi="Times New Roman" w:cs="Times New Roman"/>
          <w:kern w:val="0"/>
          <w14:ligatures w14:val="none"/>
        </w:rPr>
        <w:t xml:space="preserve">]. Under the Fourteenth Amendment, a pretrial detainee has the right to be protected while in custody. </w:t>
      </w:r>
    </w:p>
    <w:p w14:paraId="624F8CC9" w14:textId="77777777" w:rsidR="009C2346" w:rsidRPr="009C2346" w:rsidRDefault="009C2346" w:rsidP="009C2346">
      <w:pPr>
        <w:spacing w:after="0" w:line="240" w:lineRule="auto"/>
        <w:rPr>
          <w:rFonts w:ascii="Times New Roman" w:eastAsia="Calibri" w:hAnsi="Times New Roman" w:cs="Times New Roman"/>
          <w:kern w:val="0"/>
          <w14:ligatures w14:val="none"/>
        </w:rPr>
      </w:pPr>
    </w:p>
    <w:p w14:paraId="20D8DADB" w14:textId="77777777" w:rsidR="009C2346" w:rsidRPr="009C2346" w:rsidRDefault="009C2346" w:rsidP="009C2346">
      <w:pPr>
        <w:spacing w:after="0" w:line="240" w:lineRule="auto"/>
        <w:ind w:firstLine="720"/>
        <w:rPr>
          <w:rFonts w:ascii="Times New Roman" w:eastAsia="Calibri" w:hAnsi="Times New Roman" w:cs="Times New Roman"/>
          <w:kern w:val="0"/>
          <w14:ligatures w14:val="none"/>
        </w:rPr>
      </w:pPr>
      <w:r w:rsidRPr="009C2346">
        <w:rPr>
          <w:rFonts w:ascii="Times New Roman" w:eastAsia="Calibri" w:hAnsi="Times New Roman" w:cs="Times New Roman"/>
          <w:kern w:val="0"/>
          <w14:ligatures w14:val="none"/>
        </w:rPr>
        <w:t>To prove the defendant [</w:t>
      </w:r>
      <w:r w:rsidRPr="009C2346">
        <w:rPr>
          <w:rFonts w:ascii="Times New Roman" w:eastAsia="Calibri" w:hAnsi="Times New Roman" w:cs="Times New Roman"/>
          <w:i/>
          <w:iCs/>
          <w:kern w:val="0"/>
          <w:u w:val="single"/>
          <w14:ligatures w14:val="none"/>
        </w:rPr>
        <w:t>name</w:t>
      </w:r>
      <w:r w:rsidRPr="009C2346">
        <w:rPr>
          <w:rFonts w:ascii="Times New Roman" w:eastAsia="Calibri" w:hAnsi="Times New Roman" w:cs="Times New Roman"/>
          <w:kern w:val="0"/>
          <w14:ligatures w14:val="none"/>
        </w:rPr>
        <w:t>]</w:t>
      </w:r>
      <w:r w:rsidRPr="009C2346">
        <w:rPr>
          <w:rFonts w:ascii="Times New Roman" w:eastAsia="Calibri" w:hAnsi="Times New Roman" w:cs="Times New Roman"/>
          <w:kern w:val="0"/>
          <w:szCs w:val="22"/>
          <w14:ligatures w14:val="none"/>
        </w:rPr>
        <w:t xml:space="preserve"> </w:t>
      </w:r>
      <w:r w:rsidRPr="009C2346">
        <w:rPr>
          <w:rFonts w:ascii="Times New Roman" w:eastAsia="Calibri" w:hAnsi="Times New Roman" w:cs="Times New Roman"/>
          <w:kern w:val="0"/>
          <w14:ligatures w14:val="none"/>
        </w:rPr>
        <w:t>deprived the plaintiff [</w:t>
      </w:r>
      <w:r w:rsidRPr="009C2346">
        <w:rPr>
          <w:rFonts w:ascii="Times New Roman" w:eastAsia="Calibri" w:hAnsi="Times New Roman" w:cs="Times New Roman"/>
          <w:i/>
          <w:iCs/>
          <w:kern w:val="0"/>
          <w:u w:val="single"/>
          <w14:ligatures w14:val="none"/>
        </w:rPr>
        <w:t>name</w:t>
      </w:r>
      <w:r w:rsidRPr="009C2346">
        <w:rPr>
          <w:rFonts w:ascii="Times New Roman" w:eastAsia="Calibri" w:hAnsi="Times New Roman" w:cs="Times New Roman"/>
          <w:kern w:val="0"/>
          <w14:ligatures w14:val="none"/>
        </w:rPr>
        <w:t>]</w:t>
      </w:r>
      <w:r w:rsidRPr="009C2346">
        <w:rPr>
          <w:rFonts w:ascii="Times New Roman" w:eastAsia="Calibri" w:hAnsi="Times New Roman" w:cs="Times New Roman"/>
          <w:kern w:val="0"/>
          <w:szCs w:val="22"/>
          <w14:ligatures w14:val="none"/>
        </w:rPr>
        <w:t xml:space="preserve"> </w:t>
      </w:r>
      <w:r w:rsidRPr="009C2346">
        <w:rPr>
          <w:rFonts w:ascii="Times New Roman" w:eastAsia="Calibri" w:hAnsi="Times New Roman" w:cs="Times New Roman"/>
          <w:kern w:val="0"/>
          <w14:ligatures w14:val="none"/>
        </w:rPr>
        <w:t>of this right, the plaintiff [</w:t>
      </w:r>
      <w:r w:rsidRPr="009C2346">
        <w:rPr>
          <w:rFonts w:ascii="Times New Roman" w:eastAsia="Calibri" w:hAnsi="Times New Roman" w:cs="Times New Roman"/>
          <w:i/>
          <w:iCs/>
          <w:kern w:val="0"/>
          <w:u w:val="single"/>
          <w14:ligatures w14:val="none"/>
        </w:rPr>
        <w:t>name</w:t>
      </w:r>
      <w:r w:rsidRPr="009C2346">
        <w:rPr>
          <w:rFonts w:ascii="Times New Roman" w:eastAsia="Calibri" w:hAnsi="Times New Roman" w:cs="Times New Roman"/>
          <w:kern w:val="0"/>
          <w14:ligatures w14:val="none"/>
        </w:rPr>
        <w:t>]</w:t>
      </w:r>
      <w:r w:rsidRPr="009C2346">
        <w:rPr>
          <w:rFonts w:ascii="Times New Roman" w:eastAsia="Calibri" w:hAnsi="Times New Roman" w:cs="Times New Roman"/>
          <w:kern w:val="0"/>
          <w:szCs w:val="22"/>
          <w14:ligatures w14:val="none"/>
        </w:rPr>
        <w:t xml:space="preserve"> </w:t>
      </w:r>
      <w:r w:rsidRPr="009C2346">
        <w:rPr>
          <w:rFonts w:ascii="Times New Roman" w:eastAsia="Calibri" w:hAnsi="Times New Roman" w:cs="Times New Roman"/>
          <w:kern w:val="0"/>
          <w14:ligatures w14:val="none"/>
        </w:rPr>
        <w:t xml:space="preserve">must prove the following additional elements by a preponderance of the evidence:  </w:t>
      </w:r>
    </w:p>
    <w:p w14:paraId="3A50C340" w14:textId="77777777" w:rsidR="009C2346" w:rsidRPr="009C2346" w:rsidRDefault="009C2346" w:rsidP="009C2346">
      <w:pPr>
        <w:spacing w:after="0" w:line="240" w:lineRule="auto"/>
        <w:rPr>
          <w:rFonts w:ascii="Times New Roman" w:eastAsia="Calibri" w:hAnsi="Times New Roman" w:cs="Times New Roman"/>
          <w:kern w:val="0"/>
          <w14:ligatures w14:val="none"/>
        </w:rPr>
      </w:pPr>
    </w:p>
    <w:p w14:paraId="475F30DC" w14:textId="77777777" w:rsidR="009C2346" w:rsidRPr="009C2346" w:rsidRDefault="009C2346" w:rsidP="009C2346">
      <w:pPr>
        <w:spacing w:after="0" w:line="240" w:lineRule="auto"/>
        <w:ind w:firstLine="720"/>
        <w:rPr>
          <w:rFonts w:ascii="Times New Roman" w:eastAsia="Calibri" w:hAnsi="Times New Roman" w:cs="Times New Roman"/>
          <w:kern w:val="0"/>
          <w14:ligatures w14:val="none"/>
        </w:rPr>
      </w:pPr>
      <w:r w:rsidRPr="009C2346">
        <w:rPr>
          <w:rFonts w:ascii="Times New Roman" w:eastAsia="Calibri" w:hAnsi="Times New Roman" w:cs="Times New Roman"/>
          <w:kern w:val="0"/>
          <w14:ligatures w14:val="none"/>
        </w:rPr>
        <w:t>First, the defendant [</w:t>
      </w:r>
      <w:r w:rsidRPr="009C2346">
        <w:rPr>
          <w:rFonts w:ascii="Times New Roman" w:eastAsia="Calibri" w:hAnsi="Times New Roman" w:cs="Times New Roman"/>
          <w:i/>
          <w:iCs/>
          <w:kern w:val="0"/>
          <w:u w:val="single"/>
          <w14:ligatures w14:val="none"/>
        </w:rPr>
        <w:t>name</w:t>
      </w:r>
      <w:r w:rsidRPr="009C2346">
        <w:rPr>
          <w:rFonts w:ascii="Times New Roman" w:eastAsia="Calibri" w:hAnsi="Times New Roman" w:cs="Times New Roman"/>
          <w:kern w:val="0"/>
          <w14:ligatures w14:val="none"/>
        </w:rPr>
        <w:t>]</w:t>
      </w:r>
      <w:r w:rsidRPr="009C2346">
        <w:rPr>
          <w:rFonts w:ascii="Times New Roman" w:eastAsia="Calibri" w:hAnsi="Times New Roman" w:cs="Times New Roman"/>
          <w:kern w:val="0"/>
          <w:szCs w:val="22"/>
          <w14:ligatures w14:val="none"/>
        </w:rPr>
        <w:t xml:space="preserve"> </w:t>
      </w:r>
      <w:r w:rsidRPr="009C2346">
        <w:rPr>
          <w:rFonts w:ascii="Times New Roman" w:eastAsia="Calibri" w:hAnsi="Times New Roman" w:cs="Times New Roman"/>
          <w:kern w:val="0"/>
          <w14:ligatures w14:val="none"/>
        </w:rPr>
        <w:t>made an intentional decision regarding the conditions under which the plaintiff [</w:t>
      </w:r>
      <w:r w:rsidRPr="009C2346">
        <w:rPr>
          <w:rFonts w:ascii="Times New Roman" w:eastAsia="Calibri" w:hAnsi="Times New Roman" w:cs="Times New Roman"/>
          <w:i/>
          <w:iCs/>
          <w:kern w:val="0"/>
          <w:u w:val="single"/>
          <w14:ligatures w14:val="none"/>
        </w:rPr>
        <w:t>name</w:t>
      </w:r>
      <w:r w:rsidRPr="009C2346">
        <w:rPr>
          <w:rFonts w:ascii="Times New Roman" w:eastAsia="Calibri" w:hAnsi="Times New Roman" w:cs="Times New Roman"/>
          <w:kern w:val="0"/>
          <w14:ligatures w14:val="none"/>
        </w:rPr>
        <w:t>]</w:t>
      </w:r>
      <w:r w:rsidRPr="009C2346">
        <w:rPr>
          <w:rFonts w:ascii="Times New Roman" w:eastAsia="Calibri" w:hAnsi="Times New Roman" w:cs="Times New Roman"/>
          <w:kern w:val="0"/>
          <w:szCs w:val="22"/>
          <w14:ligatures w14:val="none"/>
        </w:rPr>
        <w:t xml:space="preserve"> </w:t>
      </w:r>
      <w:r w:rsidRPr="009C2346">
        <w:rPr>
          <w:rFonts w:ascii="Times New Roman" w:eastAsia="Calibri" w:hAnsi="Times New Roman" w:cs="Times New Roman"/>
          <w:kern w:val="0"/>
          <w14:ligatures w14:val="none"/>
        </w:rPr>
        <w:t xml:space="preserve">was </w:t>
      </w:r>
      <w:proofErr w:type="gramStart"/>
      <w:r w:rsidRPr="009C2346">
        <w:rPr>
          <w:rFonts w:ascii="Times New Roman" w:eastAsia="Calibri" w:hAnsi="Times New Roman" w:cs="Times New Roman"/>
          <w:kern w:val="0"/>
          <w14:ligatures w14:val="none"/>
        </w:rPr>
        <w:t>confined;</w:t>
      </w:r>
      <w:proofErr w:type="gramEnd"/>
      <w:r w:rsidRPr="009C2346">
        <w:rPr>
          <w:rFonts w:ascii="Times New Roman" w:eastAsia="Calibri" w:hAnsi="Times New Roman" w:cs="Times New Roman"/>
          <w:kern w:val="0"/>
          <w14:ligatures w14:val="none"/>
        </w:rPr>
        <w:t xml:space="preserve">  </w:t>
      </w:r>
    </w:p>
    <w:p w14:paraId="29E2541F" w14:textId="77777777" w:rsidR="009C2346" w:rsidRPr="009C2346" w:rsidRDefault="009C2346" w:rsidP="009C2346">
      <w:pPr>
        <w:spacing w:after="0" w:line="240" w:lineRule="auto"/>
        <w:ind w:firstLine="720"/>
        <w:rPr>
          <w:rFonts w:ascii="Times New Roman" w:eastAsia="Calibri" w:hAnsi="Times New Roman" w:cs="Times New Roman"/>
          <w:kern w:val="0"/>
          <w14:ligatures w14:val="none"/>
        </w:rPr>
      </w:pPr>
    </w:p>
    <w:p w14:paraId="6AC1E7D3" w14:textId="77777777" w:rsidR="009C2346" w:rsidRPr="009C2346" w:rsidRDefault="009C2346" w:rsidP="009C2346">
      <w:pPr>
        <w:spacing w:after="0" w:line="240" w:lineRule="auto"/>
        <w:ind w:firstLine="720"/>
        <w:rPr>
          <w:rFonts w:ascii="Times New Roman" w:eastAsia="Calibri" w:hAnsi="Times New Roman" w:cs="Times New Roman"/>
          <w:kern w:val="0"/>
          <w14:ligatures w14:val="none"/>
        </w:rPr>
      </w:pPr>
      <w:r w:rsidRPr="009C2346">
        <w:rPr>
          <w:rFonts w:ascii="Times New Roman" w:eastAsia="Calibri" w:hAnsi="Times New Roman" w:cs="Times New Roman"/>
          <w:kern w:val="0"/>
          <w14:ligatures w14:val="none"/>
        </w:rPr>
        <w:t>Second, those conditions put the plaintiff [</w:t>
      </w:r>
      <w:r w:rsidRPr="009C2346">
        <w:rPr>
          <w:rFonts w:ascii="Times New Roman" w:eastAsia="Calibri" w:hAnsi="Times New Roman" w:cs="Times New Roman"/>
          <w:i/>
          <w:iCs/>
          <w:kern w:val="0"/>
          <w:u w:val="single"/>
          <w14:ligatures w14:val="none"/>
        </w:rPr>
        <w:t>name</w:t>
      </w:r>
      <w:r w:rsidRPr="009C2346">
        <w:rPr>
          <w:rFonts w:ascii="Times New Roman" w:eastAsia="Calibri" w:hAnsi="Times New Roman" w:cs="Times New Roman"/>
          <w:kern w:val="0"/>
          <w14:ligatures w14:val="none"/>
        </w:rPr>
        <w:t>]</w:t>
      </w:r>
      <w:r w:rsidRPr="009C2346">
        <w:rPr>
          <w:rFonts w:ascii="Times New Roman" w:eastAsia="Calibri" w:hAnsi="Times New Roman" w:cs="Times New Roman"/>
          <w:kern w:val="0"/>
          <w:szCs w:val="22"/>
          <w14:ligatures w14:val="none"/>
        </w:rPr>
        <w:t xml:space="preserve"> </w:t>
      </w:r>
      <w:r w:rsidRPr="009C2346">
        <w:rPr>
          <w:rFonts w:ascii="Times New Roman" w:eastAsia="Calibri" w:hAnsi="Times New Roman" w:cs="Times New Roman"/>
          <w:kern w:val="0"/>
          <w14:ligatures w14:val="none"/>
        </w:rPr>
        <w:t xml:space="preserve">at substantial risk of suffering serious </w:t>
      </w:r>
      <w:proofErr w:type="gramStart"/>
      <w:r w:rsidRPr="009C2346">
        <w:rPr>
          <w:rFonts w:ascii="Times New Roman" w:eastAsia="Calibri" w:hAnsi="Times New Roman" w:cs="Times New Roman"/>
          <w:kern w:val="0"/>
          <w14:ligatures w14:val="none"/>
        </w:rPr>
        <w:t>harm;</w:t>
      </w:r>
      <w:proofErr w:type="gramEnd"/>
      <w:r w:rsidRPr="009C2346">
        <w:rPr>
          <w:rFonts w:ascii="Times New Roman" w:eastAsia="Calibri" w:hAnsi="Times New Roman" w:cs="Times New Roman"/>
          <w:kern w:val="0"/>
          <w14:ligatures w14:val="none"/>
        </w:rPr>
        <w:t xml:space="preserve">  </w:t>
      </w:r>
    </w:p>
    <w:p w14:paraId="2BE77D31" w14:textId="77777777" w:rsidR="009C2346" w:rsidRPr="009C2346" w:rsidRDefault="009C2346" w:rsidP="009C2346">
      <w:pPr>
        <w:spacing w:after="0" w:line="240" w:lineRule="auto"/>
        <w:ind w:firstLine="720"/>
        <w:rPr>
          <w:rFonts w:ascii="Times New Roman" w:eastAsia="Calibri" w:hAnsi="Times New Roman" w:cs="Times New Roman"/>
          <w:kern w:val="0"/>
          <w14:ligatures w14:val="none"/>
        </w:rPr>
      </w:pPr>
    </w:p>
    <w:p w14:paraId="6ABA9E16" w14:textId="77777777" w:rsidR="009C2346" w:rsidRPr="009C2346" w:rsidRDefault="009C2346" w:rsidP="009C2346">
      <w:pPr>
        <w:spacing w:after="0" w:line="240" w:lineRule="auto"/>
        <w:ind w:firstLine="720"/>
        <w:rPr>
          <w:rFonts w:ascii="Times New Roman" w:eastAsia="Calibri" w:hAnsi="Times New Roman" w:cs="Times New Roman"/>
          <w:kern w:val="0"/>
          <w14:ligatures w14:val="none"/>
        </w:rPr>
      </w:pPr>
      <w:r w:rsidRPr="009C2346">
        <w:rPr>
          <w:rFonts w:ascii="Times New Roman" w:eastAsia="Calibri" w:hAnsi="Times New Roman" w:cs="Times New Roman"/>
          <w:kern w:val="0"/>
          <w14:ligatures w14:val="none"/>
        </w:rPr>
        <w:t>Third, the defendant [</w:t>
      </w:r>
      <w:r w:rsidRPr="009C2346">
        <w:rPr>
          <w:rFonts w:ascii="Times New Roman" w:eastAsia="Calibri" w:hAnsi="Times New Roman" w:cs="Times New Roman"/>
          <w:i/>
          <w:iCs/>
          <w:kern w:val="0"/>
          <w:u w:val="single"/>
          <w14:ligatures w14:val="none"/>
        </w:rPr>
        <w:t>name</w:t>
      </w:r>
      <w:r w:rsidRPr="009C2346">
        <w:rPr>
          <w:rFonts w:ascii="Times New Roman" w:eastAsia="Calibri" w:hAnsi="Times New Roman" w:cs="Times New Roman"/>
          <w:kern w:val="0"/>
          <w14:ligatures w14:val="none"/>
        </w:rPr>
        <w:t>]</w:t>
      </w:r>
      <w:r w:rsidRPr="009C2346">
        <w:rPr>
          <w:rFonts w:ascii="Times New Roman" w:eastAsia="Calibri" w:hAnsi="Times New Roman" w:cs="Times New Roman"/>
          <w:kern w:val="0"/>
          <w:szCs w:val="22"/>
          <w14:ligatures w14:val="none"/>
        </w:rPr>
        <w:t xml:space="preserve"> </w:t>
      </w:r>
      <w:r w:rsidRPr="009C2346">
        <w:rPr>
          <w:rFonts w:ascii="Times New Roman" w:eastAsia="Calibri" w:hAnsi="Times New Roman" w:cs="Times New Roman"/>
          <w:kern w:val="0"/>
          <w14:ligatures w14:val="none"/>
        </w:rPr>
        <w:t>did not take reasonable available measures to abate or reduce that risk, even though a reasonable officer in the circumstances would have appreciated the high degree of risk involved—making the consequences of the defendant [</w:t>
      </w:r>
      <w:r w:rsidRPr="009C2346">
        <w:rPr>
          <w:rFonts w:ascii="Times New Roman" w:eastAsia="Calibri" w:hAnsi="Times New Roman" w:cs="Times New Roman"/>
          <w:i/>
          <w:iCs/>
          <w:kern w:val="0"/>
          <w:u w:val="single"/>
          <w14:ligatures w14:val="none"/>
        </w:rPr>
        <w:t>name</w:t>
      </w:r>
      <w:r w:rsidRPr="009C2346">
        <w:rPr>
          <w:rFonts w:ascii="Times New Roman" w:eastAsia="Calibri" w:hAnsi="Times New Roman" w:cs="Times New Roman"/>
          <w:kern w:val="0"/>
          <w14:ligatures w14:val="none"/>
        </w:rPr>
        <w:t xml:space="preserve">]’s conduct obvious; and  </w:t>
      </w:r>
    </w:p>
    <w:p w14:paraId="144F914E" w14:textId="77777777" w:rsidR="009C2346" w:rsidRPr="009C2346" w:rsidRDefault="009C2346" w:rsidP="009C2346">
      <w:pPr>
        <w:spacing w:after="0" w:line="240" w:lineRule="auto"/>
        <w:ind w:firstLine="720"/>
        <w:rPr>
          <w:rFonts w:ascii="Times New Roman" w:eastAsia="Calibri" w:hAnsi="Times New Roman" w:cs="Times New Roman"/>
          <w:kern w:val="0"/>
          <w14:ligatures w14:val="none"/>
        </w:rPr>
      </w:pPr>
    </w:p>
    <w:p w14:paraId="4B86129C" w14:textId="77777777" w:rsidR="009C2346" w:rsidRPr="009C2346" w:rsidRDefault="009C2346" w:rsidP="009C2346">
      <w:pPr>
        <w:spacing w:after="0" w:line="240" w:lineRule="auto"/>
        <w:ind w:firstLine="720"/>
        <w:rPr>
          <w:rFonts w:ascii="Times New Roman" w:eastAsia="Calibri" w:hAnsi="Times New Roman" w:cs="Times New Roman"/>
          <w:kern w:val="0"/>
          <w14:ligatures w14:val="none"/>
        </w:rPr>
      </w:pPr>
      <w:r w:rsidRPr="009C2346">
        <w:rPr>
          <w:rFonts w:ascii="Times New Roman" w:eastAsia="Calibri" w:hAnsi="Times New Roman" w:cs="Times New Roman"/>
          <w:kern w:val="0"/>
          <w14:ligatures w14:val="none"/>
        </w:rPr>
        <w:t>Fourth, by not taking such measures, the defendant [</w:t>
      </w:r>
      <w:r w:rsidRPr="009C2346">
        <w:rPr>
          <w:rFonts w:ascii="Times New Roman" w:eastAsia="Calibri" w:hAnsi="Times New Roman" w:cs="Times New Roman"/>
          <w:i/>
          <w:iCs/>
          <w:kern w:val="0"/>
          <w:u w:val="single"/>
          <w14:ligatures w14:val="none"/>
        </w:rPr>
        <w:t>name</w:t>
      </w:r>
      <w:r w:rsidRPr="009C2346">
        <w:rPr>
          <w:rFonts w:ascii="Times New Roman" w:eastAsia="Calibri" w:hAnsi="Times New Roman" w:cs="Times New Roman"/>
          <w:kern w:val="0"/>
          <w14:ligatures w14:val="none"/>
        </w:rPr>
        <w:t>]</w:t>
      </w:r>
      <w:r w:rsidRPr="009C2346">
        <w:rPr>
          <w:rFonts w:ascii="Times New Roman" w:eastAsia="Calibri" w:hAnsi="Times New Roman" w:cs="Times New Roman"/>
          <w:kern w:val="0"/>
          <w:szCs w:val="22"/>
          <w14:ligatures w14:val="none"/>
        </w:rPr>
        <w:t xml:space="preserve"> </w:t>
      </w:r>
      <w:r w:rsidRPr="009C2346">
        <w:rPr>
          <w:rFonts w:ascii="Times New Roman" w:eastAsia="Calibri" w:hAnsi="Times New Roman" w:cs="Times New Roman"/>
          <w:kern w:val="0"/>
          <w14:ligatures w14:val="none"/>
        </w:rPr>
        <w:t>caused the plaintiff [</w:t>
      </w:r>
      <w:r w:rsidRPr="009C2346">
        <w:rPr>
          <w:rFonts w:ascii="Times New Roman" w:eastAsia="Calibri" w:hAnsi="Times New Roman" w:cs="Times New Roman"/>
          <w:i/>
          <w:iCs/>
          <w:kern w:val="0"/>
          <w:u w:val="single"/>
          <w14:ligatures w14:val="none"/>
        </w:rPr>
        <w:t>name</w:t>
      </w:r>
      <w:r w:rsidRPr="009C2346">
        <w:rPr>
          <w:rFonts w:ascii="Times New Roman" w:eastAsia="Calibri" w:hAnsi="Times New Roman" w:cs="Times New Roman"/>
          <w:kern w:val="0"/>
          <w14:ligatures w14:val="none"/>
        </w:rPr>
        <w:t xml:space="preserve">]’s injuries. </w:t>
      </w:r>
    </w:p>
    <w:p w14:paraId="7184CA21" w14:textId="77777777" w:rsidR="009C2346" w:rsidRPr="009C2346" w:rsidRDefault="009C2346" w:rsidP="009C2346">
      <w:pPr>
        <w:spacing w:after="0" w:line="240" w:lineRule="auto"/>
        <w:rPr>
          <w:rFonts w:ascii="Times New Roman" w:eastAsia="Calibri" w:hAnsi="Times New Roman" w:cs="Times New Roman"/>
          <w:kern w:val="0"/>
          <w14:ligatures w14:val="none"/>
        </w:rPr>
      </w:pPr>
    </w:p>
    <w:p w14:paraId="0E4B3D91" w14:textId="77777777" w:rsidR="009C2346" w:rsidRPr="009C2346" w:rsidRDefault="009C2346" w:rsidP="009C2346">
      <w:pPr>
        <w:spacing w:after="0" w:line="240" w:lineRule="auto"/>
        <w:rPr>
          <w:rFonts w:ascii="Times New Roman" w:eastAsia="Calibri" w:hAnsi="Times New Roman" w:cs="Times New Roman"/>
          <w:kern w:val="0"/>
          <w14:ligatures w14:val="none"/>
        </w:rPr>
      </w:pPr>
      <w:r w:rsidRPr="009C2346">
        <w:rPr>
          <w:rFonts w:ascii="Times New Roman" w:eastAsia="Calibri" w:hAnsi="Times New Roman" w:cs="Times New Roman"/>
          <w:kern w:val="0"/>
          <w14:ligatures w14:val="none"/>
        </w:rPr>
        <w:tab/>
        <w:t>With respect to the third element, the defendant [</w:t>
      </w:r>
      <w:r w:rsidRPr="009C2346">
        <w:rPr>
          <w:rFonts w:ascii="Times New Roman" w:eastAsia="Calibri" w:hAnsi="Times New Roman" w:cs="Times New Roman"/>
          <w:i/>
          <w:iCs/>
          <w:kern w:val="0"/>
          <w:u w:val="single"/>
          <w14:ligatures w14:val="none"/>
        </w:rPr>
        <w:t>name</w:t>
      </w:r>
      <w:r w:rsidRPr="009C2346">
        <w:rPr>
          <w:rFonts w:ascii="Times New Roman" w:eastAsia="Calibri" w:hAnsi="Times New Roman" w:cs="Times New Roman"/>
          <w:kern w:val="0"/>
          <w14:ligatures w14:val="none"/>
        </w:rPr>
        <w:t xml:space="preserve">]’s conduct must be objectively unreasonable. </w:t>
      </w:r>
    </w:p>
    <w:p w14:paraId="7785949A" w14:textId="77777777" w:rsidR="009C2346" w:rsidRPr="009C2346" w:rsidRDefault="009C2346" w:rsidP="009C2346">
      <w:pPr>
        <w:spacing w:after="0" w:line="240" w:lineRule="auto"/>
        <w:rPr>
          <w:rFonts w:ascii="Times New Roman" w:eastAsia="Calibri" w:hAnsi="Times New Roman" w:cs="Times New Roman"/>
          <w:kern w:val="0"/>
          <w14:ligatures w14:val="none"/>
        </w:rPr>
      </w:pPr>
    </w:p>
    <w:p w14:paraId="5AA2C93C" w14:textId="77777777" w:rsidR="009C2346" w:rsidRPr="009C2346" w:rsidRDefault="009C2346" w:rsidP="009C2346">
      <w:pPr>
        <w:spacing w:after="0" w:line="240" w:lineRule="auto"/>
        <w:jc w:val="center"/>
        <w:rPr>
          <w:rFonts w:ascii="Times New Roman" w:eastAsia="Calibri" w:hAnsi="Times New Roman" w:cs="Times New Roman"/>
          <w:b/>
          <w:kern w:val="0"/>
          <w14:ligatures w14:val="none"/>
        </w:rPr>
      </w:pPr>
      <w:r w:rsidRPr="009C2346">
        <w:rPr>
          <w:rFonts w:ascii="Times New Roman" w:eastAsia="Calibri" w:hAnsi="Times New Roman" w:cs="Times New Roman"/>
          <w:b/>
          <w:kern w:val="0"/>
          <w14:ligatures w14:val="none"/>
        </w:rPr>
        <w:t>Comment</w:t>
      </w:r>
    </w:p>
    <w:p w14:paraId="320EF537" w14:textId="77777777" w:rsidR="009C2346" w:rsidRPr="009C2346" w:rsidRDefault="009C2346" w:rsidP="009C2346">
      <w:pPr>
        <w:spacing w:after="0" w:line="240" w:lineRule="auto"/>
        <w:jc w:val="center"/>
        <w:rPr>
          <w:rFonts w:ascii="Times New Roman" w:eastAsia="Calibri" w:hAnsi="Times New Roman" w:cs="Times New Roman"/>
          <w:b/>
          <w:kern w:val="0"/>
          <w14:ligatures w14:val="none"/>
        </w:rPr>
      </w:pPr>
    </w:p>
    <w:p w14:paraId="02E20079" w14:textId="77777777" w:rsidR="009C2346" w:rsidRPr="009C2346" w:rsidRDefault="009C2346" w:rsidP="009C2346">
      <w:pPr>
        <w:spacing w:after="0" w:line="240" w:lineRule="auto"/>
        <w:ind w:firstLine="720"/>
        <w:rPr>
          <w:rFonts w:ascii="Times New Roman" w:eastAsia="Calibri" w:hAnsi="Times New Roman" w:cs="Times New Roman"/>
          <w:bCs/>
          <w:kern w:val="0"/>
          <w:szCs w:val="22"/>
          <w14:ligatures w14:val="none"/>
        </w:rPr>
      </w:pPr>
      <w:r w:rsidRPr="009C2346">
        <w:rPr>
          <w:rFonts w:ascii="Times New Roman" w:eastAsia="Calibri" w:hAnsi="Times New Roman" w:cs="Times New Roman"/>
          <w:bCs/>
          <w:kern w:val="0"/>
          <w:szCs w:val="22"/>
          <w14:ligatures w14:val="none"/>
        </w:rPr>
        <w:t xml:space="preserve">Use this instruction only in conjunction with the applicable </w:t>
      </w:r>
      <w:proofErr w:type="gramStart"/>
      <w:r w:rsidRPr="009C2346">
        <w:rPr>
          <w:rFonts w:ascii="Times New Roman" w:eastAsia="Calibri" w:hAnsi="Times New Roman" w:cs="Times New Roman"/>
          <w:bCs/>
          <w:kern w:val="0"/>
          <w:szCs w:val="22"/>
          <w14:ligatures w14:val="none"/>
        </w:rPr>
        <w:t>elements</w:t>
      </w:r>
      <w:proofErr w:type="gramEnd"/>
      <w:r w:rsidRPr="009C2346">
        <w:rPr>
          <w:rFonts w:ascii="Times New Roman" w:eastAsia="Calibri" w:hAnsi="Times New Roman" w:cs="Times New Roman"/>
          <w:bCs/>
          <w:kern w:val="0"/>
          <w:szCs w:val="22"/>
          <w14:ligatures w14:val="none"/>
        </w:rPr>
        <w:t xml:space="preserve"> instructions, Instructions 9.3-9.8, and when the plaintiff is a pretrial detainee and claims a failure to protect the plaintiff.</w:t>
      </w:r>
    </w:p>
    <w:p w14:paraId="3338CBFE" w14:textId="77777777" w:rsidR="009C2346" w:rsidRPr="009C2346" w:rsidRDefault="009C2346" w:rsidP="009C2346">
      <w:pPr>
        <w:shd w:val="clear" w:color="auto" w:fill="FFFFFF"/>
        <w:tabs>
          <w:tab w:val="left" w:pos="8640"/>
        </w:tabs>
        <w:spacing w:after="0" w:line="240" w:lineRule="auto"/>
        <w:ind w:firstLine="720"/>
        <w:rPr>
          <w:rFonts w:ascii="Times New Roman" w:eastAsia="Calibri" w:hAnsi="Times New Roman" w:cs="Times New Roman"/>
          <w:kern w:val="0"/>
          <w14:ligatures w14:val="none"/>
        </w:rPr>
      </w:pPr>
    </w:p>
    <w:p w14:paraId="24F6A54C" w14:textId="77777777" w:rsidR="009C2346" w:rsidRPr="009C2346" w:rsidRDefault="009C2346" w:rsidP="009C2346">
      <w:pPr>
        <w:shd w:val="clear" w:color="auto" w:fill="FFFFFF"/>
        <w:tabs>
          <w:tab w:val="left" w:pos="8640"/>
        </w:tabs>
        <w:spacing w:after="0" w:line="240" w:lineRule="auto"/>
        <w:ind w:firstLine="720"/>
        <w:rPr>
          <w:rFonts w:ascii="Times New Roman" w:eastAsia="Times New Roman" w:hAnsi="Times New Roman" w:cs="Times New Roman"/>
          <w:kern w:val="0"/>
          <w14:ligatures w14:val="none"/>
        </w:rPr>
      </w:pPr>
      <w:r w:rsidRPr="009C2346">
        <w:rPr>
          <w:rFonts w:ascii="Times New Roman" w:eastAsia="Calibri" w:hAnsi="Times New Roman" w:cs="Times New Roman"/>
          <w:kern w:val="0"/>
          <w14:ligatures w14:val="none"/>
        </w:rPr>
        <w:t xml:space="preserve">In a multi-plaintiff or multi-defendant case, the trial judge should consider naming </w:t>
      </w:r>
      <w:proofErr w:type="gramStart"/>
      <w:r w:rsidRPr="009C2346">
        <w:rPr>
          <w:rFonts w:ascii="Times New Roman" w:eastAsia="Calibri" w:hAnsi="Times New Roman" w:cs="Times New Roman"/>
          <w:kern w:val="0"/>
          <w14:ligatures w14:val="none"/>
        </w:rPr>
        <w:t>each individual</w:t>
      </w:r>
      <w:proofErr w:type="gramEnd"/>
      <w:r w:rsidRPr="009C2346">
        <w:rPr>
          <w:rFonts w:ascii="Times New Roman" w:eastAsia="Calibri" w:hAnsi="Times New Roman" w:cs="Times New Roman"/>
          <w:kern w:val="0"/>
          <w14:ligatures w14:val="none"/>
        </w:rPr>
        <w:t xml:space="preserve"> specifically in lieu of using the generic term “officers” or “defendants.” In </w:t>
      </w:r>
      <w:proofErr w:type="spellStart"/>
      <w:r w:rsidRPr="009C2346">
        <w:rPr>
          <w:rFonts w:ascii="Times New Roman" w:eastAsia="Calibri" w:hAnsi="Times New Roman" w:cs="Times New Roman"/>
          <w:i/>
          <w:iCs/>
          <w:kern w:val="0"/>
          <w14:ligatures w14:val="none"/>
        </w:rPr>
        <w:t>Chinaryan</w:t>
      </w:r>
      <w:proofErr w:type="spellEnd"/>
      <w:r w:rsidRPr="009C2346">
        <w:rPr>
          <w:rFonts w:ascii="Times New Roman" w:eastAsia="Calibri" w:hAnsi="Times New Roman" w:cs="Times New Roman"/>
          <w:kern w:val="0"/>
          <w14:ligatures w14:val="none"/>
        </w:rPr>
        <w:t xml:space="preserve">, the Ninth Circuit explained that the jury instructions were “confusing” where </w:t>
      </w:r>
      <w:r w:rsidRPr="009C2346">
        <w:rPr>
          <w:rFonts w:ascii="Times New Roman" w:eastAsia="Times New Roman" w:hAnsi="Times New Roman" w:cs="Times New Roman"/>
          <w:kern w:val="0"/>
          <w14:ligatures w14:val="none"/>
        </w:rPr>
        <w:t>the instructions stated that “to establish an unreasonable seizure in this case, the plaintiffs must prove by a preponderance of the evidence that the officer</w:t>
      </w:r>
      <w:r w:rsidRPr="009C2346">
        <w:rPr>
          <w:rFonts w:ascii="Times New Roman" w:eastAsia="Times New Roman" w:hAnsi="Times New Roman" w:cs="Times New Roman"/>
          <w:b/>
          <w:bCs/>
          <w:i/>
          <w:iCs/>
          <w:kern w:val="0"/>
          <w:u w:val="single"/>
          <w:bdr w:val="none" w:sz="0" w:space="0" w:color="auto" w:frame="1"/>
          <w14:ligatures w14:val="none"/>
        </w:rPr>
        <w:t>s</w:t>
      </w:r>
      <w:r w:rsidRPr="009C2346">
        <w:rPr>
          <w:rFonts w:ascii="Times New Roman" w:eastAsia="Times New Roman" w:hAnsi="Times New Roman" w:cs="Times New Roman"/>
          <w:kern w:val="0"/>
          <w14:ligatures w14:val="none"/>
        </w:rPr>
        <w:t>”—plural</w:t>
      </w:r>
      <w:proofErr w:type="gramStart"/>
      <w:r w:rsidRPr="009C2346">
        <w:rPr>
          <w:rFonts w:ascii="Times New Roman" w:eastAsia="Times New Roman" w:hAnsi="Times New Roman" w:cs="Times New Roman"/>
          <w:kern w:val="0"/>
          <w14:ligatures w14:val="none"/>
        </w:rPr>
        <w:t>—“</w:t>
      </w:r>
      <w:proofErr w:type="gramEnd"/>
      <w:r w:rsidRPr="009C2346">
        <w:rPr>
          <w:rFonts w:ascii="Times New Roman" w:eastAsia="Times New Roman" w:hAnsi="Times New Roman" w:cs="Times New Roman"/>
          <w:kern w:val="0"/>
          <w14:ligatures w14:val="none"/>
        </w:rPr>
        <w:t xml:space="preserve">used excessive force.” </w:t>
      </w:r>
      <w:proofErr w:type="spellStart"/>
      <w:r w:rsidRPr="009C2346">
        <w:rPr>
          <w:rFonts w:ascii="Times New Roman" w:eastAsia="Times New Roman" w:hAnsi="Times New Roman" w:cs="Times New Roman"/>
          <w:i/>
          <w:iCs/>
          <w:kern w:val="0"/>
          <w:bdr w:val="none" w:sz="0" w:space="0" w:color="auto" w:frame="1"/>
          <w14:ligatures w14:val="none"/>
        </w:rPr>
        <w:t>Chinaryan</w:t>
      </w:r>
      <w:proofErr w:type="spellEnd"/>
      <w:r w:rsidRPr="009C2346">
        <w:rPr>
          <w:rFonts w:ascii="Times New Roman" w:eastAsia="Times New Roman" w:hAnsi="Times New Roman" w:cs="Times New Roman"/>
          <w:i/>
          <w:iCs/>
          <w:kern w:val="0"/>
          <w:bdr w:val="none" w:sz="0" w:space="0" w:color="auto" w:frame="1"/>
          <w14:ligatures w14:val="none"/>
        </w:rPr>
        <w:t xml:space="preserve"> v. City of Los Angeles</w:t>
      </w:r>
      <w:r w:rsidRPr="009C2346">
        <w:rPr>
          <w:rFonts w:ascii="Times New Roman" w:eastAsia="Times New Roman" w:hAnsi="Times New Roman" w:cs="Times New Roman"/>
          <w:kern w:val="0"/>
          <w14:ligatures w14:val="none"/>
        </w:rPr>
        <w:t>, 113 F.4th 888, 905 (9th Cir. 2024) (emphasis in original). The “officer</w:t>
      </w:r>
      <w:r w:rsidRPr="009C2346">
        <w:rPr>
          <w:rFonts w:ascii="Times New Roman" w:eastAsia="Times New Roman" w:hAnsi="Times New Roman" w:cs="Times New Roman"/>
          <w:b/>
          <w:bCs/>
          <w:i/>
          <w:iCs/>
          <w:kern w:val="0"/>
          <w:u w:val="single"/>
          <w14:ligatures w14:val="none"/>
        </w:rPr>
        <w:t>s</w:t>
      </w:r>
      <w:r w:rsidRPr="009C2346">
        <w:rPr>
          <w:rFonts w:ascii="Times New Roman" w:eastAsia="Times New Roman" w:hAnsi="Times New Roman" w:cs="Times New Roman"/>
          <w:kern w:val="0"/>
          <w14:ligatures w14:val="none"/>
        </w:rPr>
        <w:t>”</w:t>
      </w:r>
      <w:r w:rsidRPr="009C2346">
        <w:rPr>
          <w:rFonts w:ascii="Times New Roman" w:eastAsia="Times New Roman" w:hAnsi="Times New Roman" w:cs="Times New Roman"/>
          <w:b/>
          <w:bCs/>
          <w:kern w:val="0"/>
          <w14:ligatures w14:val="none"/>
        </w:rPr>
        <w:t xml:space="preserve"> </w:t>
      </w:r>
      <w:r w:rsidRPr="009C2346">
        <w:rPr>
          <w:rFonts w:ascii="Times New Roman" w:eastAsia="Times New Roman" w:hAnsi="Times New Roman" w:cs="Times New Roman"/>
          <w:kern w:val="0"/>
          <w14:ligatures w14:val="none"/>
        </w:rPr>
        <w:t xml:space="preserve">jury instruction language was confusing because it “required the jury to evaluate the excessiveness of the force used by the officers collectively rather than consider whether any single officer used excessive force.” </w:t>
      </w:r>
      <w:r w:rsidRPr="009C2346">
        <w:rPr>
          <w:rFonts w:ascii="Times New Roman" w:eastAsia="Times New Roman" w:hAnsi="Times New Roman" w:cs="Times New Roman"/>
          <w:i/>
          <w:iCs/>
          <w:kern w:val="0"/>
          <w14:ligatures w14:val="none"/>
        </w:rPr>
        <w:t>Id</w:t>
      </w:r>
      <w:r w:rsidRPr="009C2346">
        <w:rPr>
          <w:rFonts w:ascii="Times New Roman" w:eastAsia="Times New Roman" w:hAnsi="Times New Roman" w:cs="Times New Roman"/>
          <w:i/>
          <w:iCs/>
          <w:color w:val="FF0000"/>
          <w:kern w:val="0"/>
          <w14:ligatures w14:val="none"/>
        </w:rPr>
        <w:t>.</w:t>
      </w:r>
      <w:r w:rsidRPr="009C2346">
        <w:rPr>
          <w:rFonts w:ascii="Times New Roman" w:eastAsia="Times New Roman" w:hAnsi="Times New Roman" w:cs="Times New Roman"/>
          <w:color w:val="FF0000"/>
          <w:kern w:val="0"/>
          <w14:ligatures w14:val="none"/>
        </w:rPr>
        <w:t xml:space="preserve"> </w:t>
      </w:r>
      <w:proofErr w:type="gramStart"/>
      <w:r w:rsidRPr="009C2346">
        <w:rPr>
          <w:rFonts w:ascii="Times New Roman" w:eastAsia="Times New Roman" w:hAnsi="Times New Roman" w:cs="Times New Roman"/>
          <w:kern w:val="0"/>
          <w14:ligatures w14:val="none"/>
        </w:rPr>
        <w:t>In light of</w:t>
      </w:r>
      <w:proofErr w:type="gramEnd"/>
      <w:r w:rsidRPr="009C2346">
        <w:rPr>
          <w:rFonts w:ascii="Times New Roman" w:eastAsia="Times New Roman" w:hAnsi="Times New Roman" w:cs="Times New Roman"/>
          <w:kern w:val="0"/>
          <w14:ligatures w14:val="none"/>
        </w:rPr>
        <w:t xml:space="preserve"> </w:t>
      </w:r>
      <w:proofErr w:type="spellStart"/>
      <w:r w:rsidRPr="009C2346">
        <w:rPr>
          <w:rFonts w:ascii="Times New Roman" w:eastAsia="Times New Roman" w:hAnsi="Times New Roman" w:cs="Times New Roman"/>
          <w:i/>
          <w:iCs/>
          <w:kern w:val="0"/>
          <w:bdr w:val="none" w:sz="0" w:space="0" w:color="auto" w:frame="1"/>
          <w14:ligatures w14:val="none"/>
        </w:rPr>
        <w:t>Chinaryan</w:t>
      </w:r>
      <w:proofErr w:type="spellEnd"/>
      <w:r w:rsidRPr="009C2346">
        <w:rPr>
          <w:rFonts w:ascii="Times New Roman" w:eastAsia="Times New Roman" w:hAnsi="Times New Roman" w:cs="Times New Roman"/>
          <w:kern w:val="0"/>
          <w14:ligatures w14:val="none"/>
        </w:rPr>
        <w:t>, the trial judge may consider using a special verdict to identify the specific findings as to each plaintiff and defendant.</w:t>
      </w:r>
    </w:p>
    <w:p w14:paraId="25300CCF" w14:textId="77777777" w:rsidR="009C2346" w:rsidRPr="009C2346" w:rsidRDefault="009C2346" w:rsidP="009C2346">
      <w:pPr>
        <w:spacing w:after="0" w:line="240" w:lineRule="auto"/>
        <w:rPr>
          <w:rFonts w:ascii="Times New Roman" w:eastAsia="Calibri" w:hAnsi="Times New Roman" w:cs="Times New Roman"/>
          <w:kern w:val="0"/>
          <w14:ligatures w14:val="none"/>
        </w:rPr>
      </w:pPr>
    </w:p>
    <w:p w14:paraId="3F681D84" w14:textId="77777777" w:rsidR="009C2346" w:rsidRPr="009C2346" w:rsidRDefault="009C2346" w:rsidP="009C2346">
      <w:pPr>
        <w:spacing w:after="0" w:line="240" w:lineRule="auto"/>
        <w:ind w:firstLine="720"/>
        <w:rPr>
          <w:rFonts w:ascii="Times New Roman" w:eastAsia="Calibri" w:hAnsi="Times New Roman" w:cs="Times New Roman"/>
          <w:kern w:val="0"/>
          <w14:ligatures w14:val="none"/>
        </w:rPr>
      </w:pPr>
      <w:r w:rsidRPr="009C2346">
        <w:rPr>
          <w:rFonts w:ascii="Times New Roman" w:eastAsia="Calibri" w:hAnsi="Times New Roman" w:cs="Times New Roman"/>
          <w:kern w:val="0"/>
          <w14:ligatures w14:val="none"/>
        </w:rPr>
        <w:t xml:space="preserve">After the Supreme Court decided </w:t>
      </w:r>
      <w:r w:rsidRPr="009C2346">
        <w:rPr>
          <w:rFonts w:ascii="Times New Roman" w:eastAsia="Calibri" w:hAnsi="Times New Roman" w:cs="Times New Roman"/>
          <w:i/>
          <w:kern w:val="0"/>
          <w14:ligatures w14:val="none"/>
        </w:rPr>
        <w:t>Kingsley v. Hendrickson</w:t>
      </w:r>
      <w:r w:rsidRPr="009C2346">
        <w:rPr>
          <w:rFonts w:ascii="Times New Roman" w:eastAsia="Calibri" w:hAnsi="Times New Roman" w:cs="Times New Roman"/>
          <w:kern w:val="0"/>
          <w14:ligatures w14:val="none"/>
        </w:rPr>
        <w:t xml:space="preserve">, 576 U.S. 389 (2015), the Ninth Circuit decided </w:t>
      </w:r>
      <w:r w:rsidRPr="009C2346">
        <w:rPr>
          <w:rFonts w:ascii="Times New Roman" w:eastAsia="Calibri" w:hAnsi="Times New Roman" w:cs="Times New Roman"/>
          <w:i/>
          <w:kern w:val="0"/>
          <w14:ligatures w14:val="none"/>
        </w:rPr>
        <w:t>Castro v. County of Los Angeles</w:t>
      </w:r>
      <w:r w:rsidRPr="009C2346">
        <w:rPr>
          <w:rFonts w:ascii="Times New Roman" w:eastAsia="Calibri" w:hAnsi="Times New Roman" w:cs="Times New Roman"/>
          <w:kern w:val="0"/>
          <w14:ligatures w14:val="none"/>
        </w:rPr>
        <w:t>, 833 F.3d 1060 (9th Cir. 2016) (</w:t>
      </w:r>
      <w:proofErr w:type="spellStart"/>
      <w:r w:rsidRPr="009C2346">
        <w:rPr>
          <w:rFonts w:ascii="Times New Roman" w:eastAsia="Calibri" w:hAnsi="Times New Roman" w:cs="Times New Roman"/>
          <w:kern w:val="0"/>
          <w14:ligatures w14:val="none"/>
        </w:rPr>
        <w:t>en</w:t>
      </w:r>
      <w:proofErr w:type="spellEnd"/>
      <w:r w:rsidRPr="009C2346">
        <w:rPr>
          <w:rFonts w:ascii="Times New Roman" w:eastAsia="Calibri" w:hAnsi="Times New Roman" w:cs="Times New Roman"/>
          <w:kern w:val="0"/>
          <w14:ligatures w14:val="none"/>
        </w:rPr>
        <w:t xml:space="preserve"> banc). In </w:t>
      </w:r>
      <w:r w:rsidRPr="009C2346">
        <w:rPr>
          <w:rFonts w:ascii="Times New Roman" w:eastAsia="Calibri" w:hAnsi="Times New Roman" w:cs="Times New Roman"/>
          <w:i/>
          <w:kern w:val="0"/>
          <w14:ligatures w14:val="none"/>
        </w:rPr>
        <w:t>Castro</w:t>
      </w:r>
      <w:r w:rsidRPr="009C2346">
        <w:rPr>
          <w:rFonts w:ascii="Times New Roman" w:eastAsia="Calibri" w:hAnsi="Times New Roman" w:cs="Times New Roman"/>
          <w:kern w:val="0"/>
          <w14:ligatures w14:val="none"/>
        </w:rPr>
        <w:t xml:space="preserve">, the Ninth Circuit held that Castro, a pretrial detainee who was injured by an inmate while detained in a sobering cell, “had a due process right to be free from violence from other inmates.” </w:t>
      </w:r>
      <w:r w:rsidRPr="009C2346">
        <w:rPr>
          <w:rFonts w:ascii="Times New Roman" w:eastAsia="Calibri" w:hAnsi="Times New Roman" w:cs="Times New Roman"/>
          <w:i/>
          <w:kern w:val="0"/>
          <w14:ligatures w14:val="none"/>
        </w:rPr>
        <w:t>Id.</w:t>
      </w:r>
      <w:r w:rsidRPr="009C2346">
        <w:rPr>
          <w:rFonts w:ascii="Times New Roman" w:eastAsia="Calibri" w:hAnsi="Times New Roman" w:cs="Times New Roman"/>
          <w:kern w:val="0"/>
          <w14:ligatures w14:val="none"/>
        </w:rPr>
        <w:t xml:space="preserve"> at 1067. The Ninth Circuit focused its discussion on the Fourteenth Amendment, but “neither Castro nor the majority claim[ed] that any other constitutional right [was] at issue.” </w:t>
      </w:r>
      <w:r w:rsidRPr="009C2346">
        <w:rPr>
          <w:rFonts w:ascii="Times New Roman" w:eastAsia="Calibri" w:hAnsi="Times New Roman" w:cs="Times New Roman"/>
          <w:i/>
          <w:kern w:val="0"/>
          <w14:ligatures w14:val="none"/>
        </w:rPr>
        <w:t>Id</w:t>
      </w:r>
      <w:r w:rsidRPr="009C2346">
        <w:rPr>
          <w:rFonts w:ascii="Times New Roman" w:eastAsia="Calibri" w:hAnsi="Times New Roman" w:cs="Times New Roman"/>
          <w:kern w:val="0"/>
          <w14:ligatures w14:val="none"/>
        </w:rPr>
        <w:t xml:space="preserve">. at 1067-70, 1084 (Ikuta, J., dissenting). Analogizing to the Supreme Court’s excessive force analysis in </w:t>
      </w:r>
      <w:r w:rsidRPr="009C2346">
        <w:rPr>
          <w:rFonts w:ascii="Times New Roman" w:eastAsia="Calibri" w:hAnsi="Times New Roman" w:cs="Times New Roman"/>
          <w:i/>
          <w:kern w:val="0"/>
          <w14:ligatures w14:val="none"/>
        </w:rPr>
        <w:t>Kingsley</w:t>
      </w:r>
      <w:r w:rsidRPr="009C2346">
        <w:rPr>
          <w:rFonts w:ascii="Times New Roman" w:eastAsia="Calibri" w:hAnsi="Times New Roman" w:cs="Times New Roman"/>
          <w:kern w:val="0"/>
          <w14:ligatures w14:val="none"/>
        </w:rPr>
        <w:t xml:space="preserve">, the Ninth Circuit in </w:t>
      </w:r>
      <w:r w:rsidRPr="009C2346">
        <w:rPr>
          <w:rFonts w:ascii="Times New Roman" w:eastAsia="Calibri" w:hAnsi="Times New Roman" w:cs="Times New Roman"/>
          <w:i/>
          <w:kern w:val="0"/>
          <w14:ligatures w14:val="none"/>
        </w:rPr>
        <w:t xml:space="preserve">Castro </w:t>
      </w:r>
      <w:r w:rsidRPr="009C2346">
        <w:rPr>
          <w:rFonts w:ascii="Times New Roman" w:eastAsia="Calibri" w:hAnsi="Times New Roman" w:cs="Times New Roman"/>
          <w:kern w:val="0"/>
          <w14:ligatures w14:val="none"/>
        </w:rPr>
        <w:t xml:space="preserve">approved the following elements for a pretrial detainee’s failure-to-protect claim under the Fourteenth Amendment: </w:t>
      </w:r>
    </w:p>
    <w:p w14:paraId="18413343" w14:textId="77777777" w:rsidR="009C2346" w:rsidRPr="009C2346" w:rsidRDefault="009C2346" w:rsidP="009C2346">
      <w:pPr>
        <w:spacing w:after="0" w:line="240" w:lineRule="auto"/>
        <w:ind w:firstLine="720"/>
        <w:rPr>
          <w:rFonts w:ascii="Times New Roman" w:eastAsia="Calibri" w:hAnsi="Times New Roman" w:cs="Times New Roman"/>
          <w:kern w:val="0"/>
          <w14:ligatures w14:val="none"/>
        </w:rPr>
      </w:pPr>
    </w:p>
    <w:p w14:paraId="185850CF" w14:textId="77777777" w:rsidR="009C2346" w:rsidRPr="009C2346" w:rsidRDefault="009C2346" w:rsidP="009C2346">
      <w:pPr>
        <w:spacing w:after="0" w:line="240" w:lineRule="auto"/>
        <w:ind w:left="720" w:right="720"/>
        <w:jc w:val="both"/>
        <w:rPr>
          <w:rFonts w:ascii="Times New Roman" w:eastAsia="Calibri" w:hAnsi="Times New Roman" w:cs="Times New Roman"/>
          <w:kern w:val="0"/>
          <w14:ligatures w14:val="none"/>
        </w:rPr>
      </w:pPr>
      <w:r w:rsidRPr="009C2346">
        <w:rPr>
          <w:rFonts w:ascii="Times New Roman" w:eastAsia="Calibri" w:hAnsi="Times New Roman" w:cs="Times New Roman"/>
          <w:kern w:val="0"/>
          <w14:ligatures w14:val="none"/>
        </w:rPr>
        <w:t xml:space="preserve">(1) The defendant made an intentional decision with respect to the conditions under which the plaintiff was confined; (2) Those conditions put the plaintiff at substantial risk of suffering serious harm; (3) The defendant did not take reasonable available measures to abate that risk, even though a reasonable officer in the circumstances would have appreciated the high degree of risk involved—making the consequences of the defendant’s conduct obvious; and (4) By not taking such measures, the defendant caused the plaintiff’s injuries. </w:t>
      </w:r>
    </w:p>
    <w:p w14:paraId="0F20C2E9" w14:textId="77777777" w:rsidR="009C2346" w:rsidRPr="009C2346" w:rsidRDefault="009C2346" w:rsidP="009C2346">
      <w:pPr>
        <w:spacing w:after="0" w:line="240" w:lineRule="auto"/>
        <w:rPr>
          <w:rFonts w:ascii="Times New Roman" w:eastAsia="Calibri" w:hAnsi="Times New Roman" w:cs="Times New Roman"/>
          <w:i/>
          <w:kern w:val="0"/>
          <w14:ligatures w14:val="none"/>
        </w:rPr>
      </w:pPr>
    </w:p>
    <w:p w14:paraId="76E21079" w14:textId="77777777" w:rsidR="009C2346" w:rsidRPr="009C2346" w:rsidRDefault="009C2346" w:rsidP="009C2346">
      <w:pPr>
        <w:spacing w:after="0" w:line="240" w:lineRule="auto"/>
        <w:rPr>
          <w:rFonts w:ascii="Times New Roman" w:eastAsia="Calibri" w:hAnsi="Times New Roman" w:cs="Times New Roman"/>
          <w:kern w:val="0"/>
          <w14:ligatures w14:val="none"/>
        </w:rPr>
      </w:pPr>
      <w:r w:rsidRPr="009C2346">
        <w:rPr>
          <w:rFonts w:ascii="Times New Roman" w:eastAsia="Calibri" w:hAnsi="Times New Roman" w:cs="Times New Roman"/>
          <w:i/>
          <w:kern w:val="0"/>
          <w14:ligatures w14:val="none"/>
        </w:rPr>
        <w:t>Id.</w:t>
      </w:r>
      <w:r w:rsidRPr="009C2346">
        <w:rPr>
          <w:rFonts w:ascii="Times New Roman" w:eastAsia="Calibri" w:hAnsi="Times New Roman" w:cs="Times New Roman"/>
          <w:kern w:val="0"/>
          <w14:ligatures w14:val="none"/>
        </w:rPr>
        <w:t xml:space="preserve"> at 1071.</w:t>
      </w:r>
    </w:p>
    <w:p w14:paraId="599EFC20" w14:textId="77777777" w:rsidR="009C2346" w:rsidRPr="009C2346" w:rsidRDefault="009C2346" w:rsidP="009C2346">
      <w:pPr>
        <w:spacing w:after="0" w:line="240" w:lineRule="auto"/>
        <w:rPr>
          <w:rFonts w:ascii="Times New Roman" w:eastAsia="Calibri" w:hAnsi="Times New Roman" w:cs="Times New Roman"/>
          <w:kern w:val="0"/>
          <w14:ligatures w14:val="none"/>
        </w:rPr>
      </w:pPr>
    </w:p>
    <w:p w14:paraId="433B2F5E" w14:textId="77777777" w:rsidR="009C2346" w:rsidRPr="009C2346" w:rsidRDefault="009C2346" w:rsidP="009C2346">
      <w:pPr>
        <w:spacing w:after="0" w:line="240" w:lineRule="auto"/>
        <w:ind w:firstLine="720"/>
        <w:rPr>
          <w:rFonts w:ascii="Times New Roman" w:eastAsia="Calibri" w:hAnsi="Times New Roman" w:cs="Times New Roman"/>
          <w:kern w:val="0"/>
          <w14:ligatures w14:val="none"/>
        </w:rPr>
      </w:pPr>
      <w:r w:rsidRPr="009C2346">
        <w:rPr>
          <w:rFonts w:ascii="Times New Roman" w:eastAsia="Calibri" w:hAnsi="Times New Roman" w:cs="Times New Roman"/>
          <w:kern w:val="0"/>
          <w14:ligatures w14:val="none"/>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9C2346">
        <w:rPr>
          <w:rFonts w:ascii="Times New Roman" w:eastAsia="Calibri" w:hAnsi="Times New Roman" w:cs="Times New Roman"/>
          <w:i/>
          <w:kern w:val="0"/>
          <w14:ligatures w14:val="none"/>
        </w:rPr>
        <w:t>Bell v. Wolfish</w:t>
      </w:r>
      <w:r w:rsidRPr="009C2346">
        <w:rPr>
          <w:rFonts w:ascii="Times New Roman" w:eastAsia="Calibri" w:hAnsi="Times New Roman" w:cs="Times New Roman"/>
          <w:kern w:val="0"/>
          <w14:ligatures w14:val="none"/>
        </w:rPr>
        <w:t>, 441 U.S. 520, 547 (1979). Courts “must defer to the judgment of correctional officials unless the record contains substantial evidence showing [that] their policies are an unnecessary or unjustified response to problems of jail security.”</w:t>
      </w:r>
      <w:r w:rsidRPr="009C2346">
        <w:rPr>
          <w:rFonts w:ascii="Times New Roman" w:eastAsia="Calibri" w:hAnsi="Times New Roman" w:cs="Times New Roman"/>
          <w:i/>
          <w:kern w:val="0"/>
          <w14:ligatures w14:val="none"/>
        </w:rPr>
        <w:t xml:space="preserve"> Florence v. Bd. of Chosen Freeholders </w:t>
      </w:r>
      <w:proofErr w:type="spellStart"/>
      <w:r w:rsidRPr="009C2346">
        <w:rPr>
          <w:rFonts w:ascii="Times New Roman" w:eastAsia="Calibri" w:hAnsi="Times New Roman" w:cs="Times New Roman"/>
          <w:i/>
          <w:kern w:val="0"/>
          <w14:ligatures w14:val="none"/>
        </w:rPr>
        <w:t>Cnty</w:t>
      </w:r>
      <w:proofErr w:type="spellEnd"/>
      <w:r w:rsidRPr="009C2346">
        <w:rPr>
          <w:rFonts w:ascii="Times New Roman" w:eastAsia="Calibri" w:hAnsi="Times New Roman" w:cs="Times New Roman"/>
          <w:i/>
          <w:kern w:val="0"/>
          <w14:ligatures w14:val="none"/>
        </w:rPr>
        <w:t>. of Burlington</w:t>
      </w:r>
      <w:r w:rsidRPr="009C2346">
        <w:rPr>
          <w:rFonts w:ascii="Times New Roman" w:eastAsia="Calibri" w:hAnsi="Times New Roman" w:cs="Times New Roman"/>
          <w:kern w:val="0"/>
          <w14:ligatures w14:val="none"/>
        </w:rPr>
        <w:t xml:space="preserve">, 566 U.S. 318, 322-23 (2012). “It is well established that judges and juries must defer to prison officials’ expert judgments.” </w:t>
      </w:r>
      <w:r w:rsidRPr="009C2346">
        <w:rPr>
          <w:rFonts w:ascii="Times New Roman" w:eastAsia="Calibri" w:hAnsi="Times New Roman" w:cs="Times New Roman"/>
          <w:i/>
          <w:kern w:val="0"/>
          <w14:ligatures w14:val="none"/>
        </w:rPr>
        <w:t>Norwood v. Vance</w:t>
      </w:r>
      <w:r w:rsidRPr="009C2346">
        <w:rPr>
          <w:rFonts w:ascii="Times New Roman" w:eastAsia="Calibri" w:hAnsi="Times New Roman" w:cs="Times New Roman"/>
          <w:kern w:val="0"/>
          <w14:ligatures w14:val="none"/>
        </w:rPr>
        <w:t>, 591 F.3d 1062, 1066 (9th Cir. 2010).</w:t>
      </w:r>
    </w:p>
    <w:p w14:paraId="5094F786" w14:textId="77777777" w:rsidR="009C2346" w:rsidRPr="009C2346" w:rsidRDefault="009C2346" w:rsidP="009C2346">
      <w:pPr>
        <w:spacing w:after="0" w:line="240" w:lineRule="auto"/>
        <w:ind w:firstLine="720"/>
        <w:rPr>
          <w:rFonts w:ascii="Times New Roman" w:eastAsia="Calibri" w:hAnsi="Times New Roman" w:cs="Times New Roman"/>
          <w:kern w:val="0"/>
          <w14:ligatures w14:val="none"/>
        </w:rPr>
      </w:pPr>
    </w:p>
    <w:p w14:paraId="7DE8A95E" w14:textId="77777777" w:rsidR="009C2346" w:rsidRPr="009C2346" w:rsidRDefault="009C2346" w:rsidP="009C2346">
      <w:pPr>
        <w:spacing w:after="0" w:line="240" w:lineRule="auto"/>
        <w:rPr>
          <w:rFonts w:ascii="Times New Roman" w:eastAsia="Calibri" w:hAnsi="Times New Roman" w:cs="Times New Roman"/>
          <w:kern w:val="0"/>
          <w14:ligatures w14:val="none"/>
        </w:rPr>
      </w:pPr>
      <w:r w:rsidRPr="009C2346">
        <w:rPr>
          <w:rFonts w:ascii="Times New Roman" w:eastAsia="Calibri" w:hAnsi="Times New Roman" w:cs="Times New Roman"/>
          <w:kern w:val="0"/>
          <w14:ligatures w14:val="none"/>
        </w:rPr>
        <w:tab/>
        <w:t xml:space="preserve">The Ninth Circuit has held that failing to give a jury deference instruction based on the general principles outlined in </w:t>
      </w:r>
      <w:r w:rsidRPr="009C2346">
        <w:rPr>
          <w:rFonts w:ascii="Times New Roman" w:eastAsia="Calibri" w:hAnsi="Times New Roman" w:cs="Times New Roman"/>
          <w:i/>
          <w:kern w:val="0"/>
          <w14:ligatures w14:val="none"/>
        </w:rPr>
        <w:t xml:space="preserve">Bell </w:t>
      </w:r>
      <w:r w:rsidRPr="009C2346">
        <w:rPr>
          <w:rFonts w:ascii="Times New Roman" w:eastAsia="Calibri" w:hAnsi="Times New Roman" w:cs="Times New Roman"/>
          <w:kern w:val="0"/>
          <w14:ligatures w14:val="none"/>
        </w:rPr>
        <w:t xml:space="preserve">was an error. </w:t>
      </w:r>
      <w:r w:rsidRPr="009C2346">
        <w:rPr>
          <w:rFonts w:ascii="Times New Roman" w:eastAsia="Calibri" w:hAnsi="Times New Roman" w:cs="Times New Roman"/>
          <w:i/>
          <w:kern w:val="0"/>
          <w14:ligatures w14:val="none"/>
        </w:rPr>
        <w:t>Norwood</w:t>
      </w:r>
      <w:r w:rsidRPr="009C2346">
        <w:rPr>
          <w:rFonts w:ascii="Times New Roman" w:eastAsia="Calibri" w:hAnsi="Times New Roman" w:cs="Times New Roman"/>
          <w:kern w:val="0"/>
          <w14:ligatures w14:val="none"/>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9C2346">
        <w:rPr>
          <w:rFonts w:ascii="Times New Roman" w:eastAsia="Calibri" w:hAnsi="Times New Roman" w:cs="Times New Roman"/>
          <w:i/>
          <w:kern w:val="0"/>
          <w14:ligatures w14:val="none"/>
        </w:rPr>
        <w:t>Bell</w:t>
      </w:r>
      <w:r w:rsidRPr="009C2346">
        <w:rPr>
          <w:rFonts w:ascii="Times New Roman" w:eastAsia="Calibri" w:hAnsi="Times New Roman" w:cs="Times New Roman"/>
          <w:kern w:val="0"/>
          <w14:ligatures w14:val="none"/>
        </w:rPr>
        <w:t xml:space="preserve"> were present: first, the prison officials adopted and executed “policies and practices that in their judgment are needed to preserve internal order and discipline and to maintain institutional security,” </w:t>
      </w:r>
      <w:r w:rsidRPr="009C2346">
        <w:rPr>
          <w:rFonts w:ascii="Times New Roman" w:eastAsia="Calibri" w:hAnsi="Times New Roman" w:cs="Times New Roman"/>
          <w:i/>
          <w:kern w:val="0"/>
          <w14:ligatures w14:val="none"/>
        </w:rPr>
        <w:t>Shorter v. Baca</w:t>
      </w:r>
      <w:r w:rsidRPr="009C2346">
        <w:rPr>
          <w:rFonts w:ascii="Times New Roman" w:eastAsia="Calibri" w:hAnsi="Times New Roman" w:cs="Times New Roman"/>
          <w:kern w:val="0"/>
          <w14:ligatures w14:val="none"/>
        </w:rPr>
        <w:t xml:space="preserve">, 895 F.3d 1176, 1183 (9th Cir. 2018) (quoting </w:t>
      </w:r>
      <w:r w:rsidRPr="009C2346">
        <w:rPr>
          <w:rFonts w:ascii="Times New Roman" w:eastAsia="Calibri" w:hAnsi="Times New Roman" w:cs="Times New Roman"/>
          <w:i/>
          <w:kern w:val="0"/>
          <w14:ligatures w14:val="none"/>
        </w:rPr>
        <w:t>Bell</w:t>
      </w:r>
      <w:r w:rsidRPr="009C2346">
        <w:rPr>
          <w:rFonts w:ascii="Times New Roman" w:eastAsia="Calibri" w:hAnsi="Times New Roman" w:cs="Times New Roman"/>
          <w:kern w:val="0"/>
          <w14:ligatures w14:val="none"/>
        </w:rPr>
        <w:t xml:space="preserve">, 441 U.S. at 547), and second, the record did not contain “substantial evidence showing [that the prison’s] policies are an unnecessary or unjustified response to problems of jail security.” </w:t>
      </w:r>
      <w:r w:rsidRPr="009C2346">
        <w:rPr>
          <w:rFonts w:ascii="Times New Roman" w:eastAsia="Calibri" w:hAnsi="Times New Roman" w:cs="Times New Roman"/>
          <w:i/>
          <w:kern w:val="0"/>
          <w14:ligatures w14:val="none"/>
        </w:rPr>
        <w:t>Id.</w:t>
      </w:r>
      <w:r w:rsidRPr="009C2346">
        <w:rPr>
          <w:rFonts w:ascii="Times New Roman" w:eastAsia="Calibri" w:hAnsi="Times New Roman" w:cs="Times New Roman"/>
          <w:kern w:val="0"/>
          <w14:ligatures w14:val="none"/>
        </w:rPr>
        <w:t xml:space="preserve"> (quoting </w:t>
      </w:r>
      <w:r w:rsidRPr="009C2346">
        <w:rPr>
          <w:rFonts w:ascii="Times New Roman" w:eastAsia="Calibri" w:hAnsi="Times New Roman" w:cs="Times New Roman"/>
          <w:i/>
          <w:kern w:val="0"/>
          <w14:ligatures w14:val="none"/>
        </w:rPr>
        <w:t>Florence</w:t>
      </w:r>
      <w:r w:rsidRPr="009C2346">
        <w:rPr>
          <w:rFonts w:ascii="Times New Roman" w:eastAsia="Calibri" w:hAnsi="Times New Roman" w:cs="Times New Roman"/>
          <w:kern w:val="0"/>
          <w14:ligatures w14:val="none"/>
        </w:rPr>
        <w:t xml:space="preserve">, 566 U.S. at 323); </w:t>
      </w:r>
      <w:r w:rsidRPr="009C2346">
        <w:rPr>
          <w:rFonts w:ascii="Times New Roman" w:eastAsia="Calibri" w:hAnsi="Times New Roman" w:cs="Times New Roman"/>
          <w:i/>
          <w:kern w:val="0"/>
          <w14:ligatures w14:val="none"/>
        </w:rPr>
        <w:t>see also Fierro v. Smith</w:t>
      </w:r>
      <w:r w:rsidRPr="009C2346">
        <w:rPr>
          <w:rFonts w:ascii="Times New Roman" w:eastAsia="Calibri" w:hAnsi="Times New Roman" w:cs="Times New Roman"/>
          <w:kern w:val="0"/>
          <w14:ligatures w14:val="none"/>
        </w:rPr>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p>
    <w:p w14:paraId="61B6653F" w14:textId="77777777" w:rsidR="009C2346" w:rsidRPr="009C2346" w:rsidRDefault="009C2346" w:rsidP="009C2346">
      <w:pPr>
        <w:spacing w:after="0" w:line="240" w:lineRule="auto"/>
        <w:rPr>
          <w:rFonts w:ascii="Times New Roman" w:eastAsia="Calibri" w:hAnsi="Times New Roman" w:cs="Times New Roman"/>
          <w:kern w:val="0"/>
          <w14:ligatures w14:val="none"/>
        </w:rPr>
      </w:pPr>
    </w:p>
    <w:p w14:paraId="2D570385" w14:textId="77777777" w:rsidR="009C2346" w:rsidRPr="009C2346" w:rsidRDefault="009C2346" w:rsidP="009C2346">
      <w:pPr>
        <w:spacing w:after="0" w:line="240" w:lineRule="auto"/>
        <w:rPr>
          <w:rFonts w:ascii="Times New Roman" w:eastAsia="Calibri" w:hAnsi="Times New Roman" w:cs="Times New Roman"/>
          <w:kern w:val="0"/>
          <w14:ligatures w14:val="none"/>
        </w:rPr>
      </w:pPr>
      <w:r w:rsidRPr="009C2346">
        <w:rPr>
          <w:rFonts w:ascii="Times New Roman" w:eastAsia="Calibri" w:hAnsi="Times New Roman" w:cs="Times New Roman"/>
          <w:kern w:val="0"/>
          <w14:ligatures w14:val="none"/>
        </w:rPr>
        <w:tab/>
      </w:r>
      <w:proofErr w:type="gramStart"/>
      <w:r w:rsidRPr="009C2346">
        <w:rPr>
          <w:rFonts w:ascii="Times New Roman" w:eastAsia="Calibri" w:hAnsi="Times New Roman" w:cs="Times New Roman"/>
          <w:kern w:val="0"/>
          <w14:ligatures w14:val="none"/>
        </w:rPr>
        <w:t>In light of</w:t>
      </w:r>
      <w:proofErr w:type="gramEnd"/>
      <w:r w:rsidRPr="009C2346">
        <w:rPr>
          <w:rFonts w:ascii="Times New Roman" w:eastAsia="Calibri" w:hAnsi="Times New Roman" w:cs="Times New Roman"/>
          <w:kern w:val="0"/>
          <w14:ligatures w14:val="none"/>
        </w:rPr>
        <w:t xml:space="preserve"> the two </w:t>
      </w:r>
      <w:r w:rsidRPr="009C2346">
        <w:rPr>
          <w:rFonts w:ascii="Times New Roman" w:eastAsia="Calibri" w:hAnsi="Times New Roman" w:cs="Times New Roman"/>
          <w:i/>
          <w:iCs/>
          <w:kern w:val="0"/>
          <w14:ligatures w14:val="none"/>
        </w:rPr>
        <w:t xml:space="preserve">Bell </w:t>
      </w:r>
      <w:r w:rsidRPr="009C2346">
        <w:rPr>
          <w:rFonts w:ascii="Times New Roman" w:eastAsia="Calibri" w:hAnsi="Times New Roman" w:cs="Times New Roman"/>
          <w:kern w:val="0"/>
          <w14:ligatures w14:val="none"/>
        </w:rPr>
        <w:t xml:space="preserve">conditions, the Ninth Circuit has explained the contours of giving a deference instruction in different scenarios. The plaintiff bears the burden of producing “substantial evidence” in the record that the two conditions are not met. </w:t>
      </w:r>
      <w:r w:rsidRPr="009C2346">
        <w:rPr>
          <w:rFonts w:ascii="Times New Roman" w:eastAsia="Calibri" w:hAnsi="Times New Roman" w:cs="Times New Roman"/>
          <w:i/>
          <w:kern w:val="0"/>
          <w14:ligatures w14:val="none"/>
        </w:rPr>
        <w:t>Shorter</w:t>
      </w:r>
      <w:r w:rsidRPr="009C2346">
        <w:rPr>
          <w:rFonts w:ascii="Times New Roman" w:eastAsia="Calibri" w:hAnsi="Times New Roman" w:cs="Times New Roman"/>
          <w:kern w:val="0"/>
          <w14:ligatures w14:val="none"/>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9C2346">
        <w:rPr>
          <w:rFonts w:ascii="Times New Roman" w:eastAsia="Calibri" w:hAnsi="Times New Roman" w:cs="Times New Roman"/>
          <w:i/>
          <w:iCs/>
          <w:kern w:val="0"/>
          <w14:ligatures w14:val="none"/>
        </w:rPr>
        <w:t>Block v. Rutherford</w:t>
      </w:r>
      <w:r w:rsidRPr="009C2346">
        <w:rPr>
          <w:rFonts w:ascii="Times New Roman" w:eastAsia="Calibri" w:hAnsi="Times New Roman" w:cs="Times New Roman"/>
          <w:kern w:val="0"/>
          <w14:ligatures w14:val="none"/>
        </w:rPr>
        <w:t xml:space="preserve">, 468 U.S. 576, 584-85 (1984)). If the plaintiff has failed to carry this burden, or if the parties do not dispute that both </w:t>
      </w:r>
      <w:r w:rsidRPr="009C2346">
        <w:rPr>
          <w:rFonts w:ascii="Times New Roman" w:eastAsia="Calibri" w:hAnsi="Times New Roman" w:cs="Times New Roman"/>
          <w:i/>
          <w:iCs/>
          <w:kern w:val="0"/>
          <w14:ligatures w14:val="none"/>
        </w:rPr>
        <w:t>Bell</w:t>
      </w:r>
      <w:r w:rsidRPr="009C2346">
        <w:rPr>
          <w:rFonts w:ascii="Times New Roman" w:eastAsia="Calibri" w:hAnsi="Times New Roman" w:cs="Times New Roman"/>
          <w:i/>
          <w:kern w:val="0"/>
          <w14:ligatures w14:val="none"/>
        </w:rPr>
        <w:t xml:space="preserve"> </w:t>
      </w:r>
      <w:r w:rsidRPr="009C2346">
        <w:rPr>
          <w:rFonts w:ascii="Times New Roman" w:eastAsia="Calibri" w:hAnsi="Times New Roman" w:cs="Times New Roman"/>
          <w:kern w:val="0"/>
          <w14:ligatures w14:val="none"/>
        </w:rPr>
        <w:t xml:space="preserve">conditions are met, the trial court must give a jury the deference instruction. </w:t>
      </w:r>
      <w:r w:rsidRPr="009C2346">
        <w:rPr>
          <w:rFonts w:ascii="Times New Roman" w:eastAsia="Calibri" w:hAnsi="Times New Roman" w:cs="Times New Roman"/>
          <w:i/>
          <w:kern w:val="0"/>
          <w14:ligatures w14:val="none"/>
        </w:rPr>
        <w:t>Fierro</w:t>
      </w:r>
      <w:r w:rsidRPr="009C2346">
        <w:rPr>
          <w:rFonts w:ascii="Times New Roman" w:eastAsia="Calibri" w:hAnsi="Times New Roman" w:cs="Times New Roman"/>
          <w:kern w:val="0"/>
          <w14:ligatures w14:val="none"/>
        </w:rPr>
        <w:t xml:space="preserve">, 39 F.4th at 648; </w:t>
      </w:r>
      <w:r w:rsidRPr="009C2346">
        <w:rPr>
          <w:rFonts w:ascii="Times New Roman" w:eastAsia="Calibri" w:hAnsi="Times New Roman" w:cs="Times New Roman"/>
          <w:i/>
          <w:kern w:val="0"/>
          <w14:ligatures w14:val="none"/>
        </w:rPr>
        <w:t>Norwood</w:t>
      </w:r>
      <w:r w:rsidRPr="009C2346">
        <w:rPr>
          <w:rFonts w:ascii="Times New Roman" w:eastAsia="Calibri" w:hAnsi="Times New Roman" w:cs="Times New Roman"/>
          <w:kern w:val="0"/>
          <w14:ligatures w14:val="none"/>
        </w:rPr>
        <w:t xml:space="preserve">, 591 F.3d at 1067. Where the parties agree that one condition is met and one is absent, or that both conditions are absent, then the trial court may not give the jury deference instruction. </w:t>
      </w:r>
      <w:r w:rsidRPr="009C2346">
        <w:rPr>
          <w:rFonts w:ascii="Times New Roman" w:eastAsia="Calibri" w:hAnsi="Times New Roman" w:cs="Times New Roman"/>
          <w:i/>
          <w:kern w:val="0"/>
          <w14:ligatures w14:val="none"/>
        </w:rPr>
        <w:t>Fierro</w:t>
      </w:r>
      <w:r w:rsidRPr="009C2346">
        <w:rPr>
          <w:rFonts w:ascii="Times New Roman" w:eastAsia="Calibri" w:hAnsi="Times New Roman" w:cs="Times New Roman"/>
          <w:kern w:val="0"/>
          <w14:ligatures w14:val="none"/>
        </w:rPr>
        <w:t>, 39 F.4th at 648.</w:t>
      </w:r>
    </w:p>
    <w:p w14:paraId="7E2ED2CA" w14:textId="77777777" w:rsidR="009C2346" w:rsidRPr="009C2346" w:rsidRDefault="009C2346" w:rsidP="009C2346">
      <w:pPr>
        <w:spacing w:after="0" w:line="240" w:lineRule="auto"/>
        <w:rPr>
          <w:rFonts w:ascii="Times New Roman" w:eastAsia="Calibri" w:hAnsi="Times New Roman" w:cs="Times New Roman"/>
          <w:kern w:val="0"/>
          <w14:ligatures w14:val="none"/>
        </w:rPr>
      </w:pPr>
    </w:p>
    <w:p w14:paraId="6559888A" w14:textId="77777777" w:rsidR="009C2346" w:rsidRPr="009C2346" w:rsidRDefault="009C2346" w:rsidP="009C2346">
      <w:pPr>
        <w:spacing w:after="0" w:line="240" w:lineRule="auto"/>
        <w:rPr>
          <w:rFonts w:ascii="Times New Roman" w:eastAsia="Calibri" w:hAnsi="Times New Roman" w:cs="Times New Roman"/>
          <w:kern w:val="0"/>
          <w14:ligatures w14:val="none"/>
        </w:rPr>
      </w:pPr>
      <w:r w:rsidRPr="009C2346">
        <w:rPr>
          <w:rFonts w:ascii="Times New Roman" w:eastAsia="Calibri" w:hAnsi="Times New Roman" w:cs="Times New Roman"/>
          <w:kern w:val="0"/>
          <w14:ligatures w14:val="none"/>
        </w:rPr>
        <w:tab/>
        <w:t xml:space="preserve">In cases involving the denial of medical care to prisoners, which highlight </w:t>
      </w:r>
      <w:r w:rsidRPr="009C2346">
        <w:rPr>
          <w:rFonts w:ascii="Times New Roman" w:eastAsia="Calibri" w:hAnsi="Times New Roman" w:cs="Times New Roman"/>
          <w:i/>
          <w:kern w:val="0"/>
          <w14:ligatures w14:val="none"/>
        </w:rPr>
        <w:t>Bell</w:t>
      </w:r>
      <w:r w:rsidRPr="009C2346">
        <w:rPr>
          <w:rFonts w:ascii="Times New Roman" w:eastAsia="Calibri" w:hAnsi="Times New Roman" w:cs="Times New Roman"/>
          <w:kern w:val="0"/>
          <w14:ligatures w14:val="none"/>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9C2346">
        <w:rPr>
          <w:rFonts w:ascii="Times New Roman" w:eastAsia="Calibri" w:hAnsi="Times New Roman" w:cs="Times New Roman"/>
          <w:i/>
          <w:kern w:val="0"/>
          <w14:ligatures w14:val="none"/>
        </w:rPr>
        <w:t>Chess v. Dovey</w:t>
      </w:r>
      <w:r w:rsidRPr="009C2346">
        <w:rPr>
          <w:rFonts w:ascii="Times New Roman" w:eastAsia="Calibri" w:hAnsi="Times New Roman" w:cs="Times New Roman"/>
          <w:kern w:val="0"/>
          <w14:ligatures w14:val="none"/>
        </w:rPr>
        <w:t xml:space="preserve">, 790 F.3d 961, 972 (9th Cir. 2015); </w:t>
      </w:r>
      <w:r w:rsidRPr="009C2346">
        <w:rPr>
          <w:rFonts w:ascii="Times New Roman" w:eastAsia="Calibri" w:hAnsi="Times New Roman" w:cs="Times New Roman"/>
          <w:i/>
          <w:kern w:val="0"/>
          <w14:ligatures w14:val="none"/>
        </w:rPr>
        <w:t>see also</w:t>
      </w:r>
      <w:r w:rsidRPr="009C2346">
        <w:rPr>
          <w:rFonts w:ascii="Times New Roman" w:eastAsia="Calibri" w:hAnsi="Times New Roman" w:cs="Times New Roman"/>
          <w:kern w:val="0"/>
          <w14:ligatures w14:val="none"/>
        </w:rPr>
        <w:t xml:space="preserve"> </w:t>
      </w:r>
      <w:r w:rsidRPr="009C2346">
        <w:rPr>
          <w:rFonts w:ascii="Times New Roman" w:eastAsia="Calibri" w:hAnsi="Times New Roman" w:cs="Times New Roman"/>
          <w:i/>
          <w:kern w:val="0"/>
          <w14:ligatures w14:val="none"/>
        </w:rPr>
        <w:t>Shorter</w:t>
      </w:r>
      <w:r w:rsidRPr="009C2346">
        <w:rPr>
          <w:rFonts w:ascii="Times New Roman" w:eastAsia="Calibri" w:hAnsi="Times New Roman" w:cs="Times New Roman"/>
          <w:kern w:val="0"/>
          <w14:ligatures w14:val="none"/>
        </w:rPr>
        <w:t xml:space="preserve">, 895 F.3d at 1184 (holding that “the [jury deference] instruction may be given only when there is evidence that the treatment to which the plaintiff objects was provided pursuant to a security-based policy”); </w:t>
      </w:r>
      <w:r w:rsidRPr="009C2346">
        <w:rPr>
          <w:rFonts w:ascii="Times New Roman" w:eastAsia="Calibri" w:hAnsi="Times New Roman" w:cs="Times New Roman"/>
          <w:i/>
          <w:kern w:val="0"/>
          <w14:ligatures w14:val="none"/>
        </w:rPr>
        <w:t xml:space="preserve">Coston v. </w:t>
      </w:r>
      <w:proofErr w:type="spellStart"/>
      <w:r w:rsidRPr="009C2346">
        <w:rPr>
          <w:rFonts w:ascii="Times New Roman" w:eastAsia="Calibri" w:hAnsi="Times New Roman" w:cs="Times New Roman"/>
          <w:i/>
          <w:kern w:val="0"/>
          <w14:ligatures w14:val="none"/>
        </w:rPr>
        <w:t>Nangalama</w:t>
      </w:r>
      <w:proofErr w:type="spellEnd"/>
      <w:r w:rsidRPr="009C2346">
        <w:rPr>
          <w:rFonts w:ascii="Times New Roman" w:eastAsia="Calibri" w:hAnsi="Times New Roman" w:cs="Times New Roman"/>
          <w:kern w:val="0"/>
          <w14:ligatures w14:val="none"/>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36D80B65" w14:textId="77777777" w:rsidR="009C2346" w:rsidRPr="009C2346" w:rsidRDefault="009C2346" w:rsidP="009C2346">
      <w:pPr>
        <w:spacing w:after="0" w:line="240" w:lineRule="auto"/>
        <w:rPr>
          <w:rFonts w:ascii="Times New Roman" w:eastAsia="Calibri" w:hAnsi="Times New Roman" w:cs="Times New Roman"/>
          <w:kern w:val="0"/>
          <w14:ligatures w14:val="none"/>
        </w:rPr>
      </w:pPr>
    </w:p>
    <w:p w14:paraId="193A05CC" w14:textId="77777777" w:rsidR="009C2346" w:rsidRPr="009C2346" w:rsidRDefault="009C2346" w:rsidP="009C2346">
      <w:pPr>
        <w:spacing w:after="0" w:line="240" w:lineRule="auto"/>
        <w:rPr>
          <w:rFonts w:ascii="Times New Roman" w:eastAsia="Calibri" w:hAnsi="Times New Roman" w:cs="Times New Roman"/>
          <w:kern w:val="0"/>
          <w14:ligatures w14:val="none"/>
        </w:rPr>
      </w:pPr>
      <w:r w:rsidRPr="009C2346">
        <w:rPr>
          <w:rFonts w:ascii="Times New Roman" w:eastAsia="Calibri" w:hAnsi="Times New Roman" w:cs="Times New Roman"/>
          <w:kern w:val="0"/>
          <w14:ligatures w14:val="none"/>
        </w:rPr>
        <w:tab/>
        <w:t xml:space="preserve">In a case highlighting </w:t>
      </w:r>
      <w:r w:rsidRPr="009C2346">
        <w:rPr>
          <w:rFonts w:ascii="Times New Roman" w:eastAsia="Calibri" w:hAnsi="Times New Roman" w:cs="Times New Roman"/>
          <w:i/>
          <w:kern w:val="0"/>
          <w14:ligatures w14:val="none"/>
        </w:rPr>
        <w:t>Bell</w:t>
      </w:r>
      <w:r w:rsidRPr="009C2346">
        <w:rPr>
          <w:rFonts w:ascii="Times New Roman" w:eastAsia="Calibri" w:hAnsi="Times New Roman" w:cs="Times New Roman"/>
          <w:kern w:val="0"/>
          <w14:ligatures w14:val="none"/>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9C2346">
        <w:rPr>
          <w:rFonts w:ascii="Times New Roman" w:eastAsia="Calibri" w:hAnsi="Times New Roman" w:cs="Times New Roman"/>
          <w:i/>
          <w:iCs/>
          <w:kern w:val="0"/>
          <w14:ligatures w14:val="none"/>
        </w:rPr>
        <w:t>Shorter</w:t>
      </w:r>
      <w:r w:rsidRPr="009C2346">
        <w:rPr>
          <w:rFonts w:ascii="Times New Roman" w:eastAsia="Calibri" w:hAnsi="Times New Roman" w:cs="Times New Roman"/>
          <w:kern w:val="0"/>
          <w14:ligatures w14:val="none"/>
        </w:rPr>
        <w:t>,</w:t>
      </w:r>
      <w:r w:rsidRPr="009C2346">
        <w:rPr>
          <w:rFonts w:ascii="Times New Roman" w:eastAsia="Calibri" w:hAnsi="Times New Roman" w:cs="Times New Roman"/>
          <w:i/>
          <w:iCs/>
          <w:kern w:val="0"/>
          <w14:ligatures w14:val="none"/>
        </w:rPr>
        <w:t xml:space="preserve"> </w:t>
      </w:r>
      <w:r w:rsidRPr="009C2346">
        <w:rPr>
          <w:rFonts w:ascii="Times New Roman" w:eastAsia="Calibri" w:hAnsi="Times New Roman" w:cs="Times New Roman"/>
          <w:kern w:val="0"/>
          <w14:ligatures w14:val="none"/>
        </w:rPr>
        <w:t xml:space="preserve">895 F.3d at 1184 (stating that “jail officials concede[d] that there was no legitimate penological purpose for shackling mentally ill, virtually unclothed, female pretrial detainees to their cell doors for hours at a time”). </w:t>
      </w:r>
    </w:p>
    <w:p w14:paraId="61FD305C" w14:textId="77777777" w:rsidR="009C2346" w:rsidRPr="009C2346" w:rsidRDefault="009C2346" w:rsidP="009C2346">
      <w:pPr>
        <w:spacing w:after="0" w:line="240" w:lineRule="auto"/>
        <w:rPr>
          <w:rFonts w:ascii="Times New Roman" w:eastAsia="Calibri" w:hAnsi="Times New Roman" w:cs="Times New Roman"/>
          <w:kern w:val="0"/>
          <w14:ligatures w14:val="none"/>
        </w:rPr>
      </w:pPr>
    </w:p>
    <w:p w14:paraId="49351DAD" w14:textId="77777777" w:rsidR="009C2346" w:rsidRPr="009C2346" w:rsidRDefault="009C2346" w:rsidP="009C2346">
      <w:pPr>
        <w:spacing w:after="0" w:line="240" w:lineRule="auto"/>
        <w:rPr>
          <w:rFonts w:ascii="Times New Roman" w:eastAsia="Calibri" w:hAnsi="Times New Roman" w:cs="Times New Roman"/>
          <w:kern w:val="0"/>
          <w14:ligatures w14:val="none"/>
        </w:rPr>
      </w:pPr>
      <w:r w:rsidRPr="009C2346">
        <w:rPr>
          <w:rFonts w:ascii="Times New Roman" w:eastAsia="Calibri" w:hAnsi="Times New Roman" w:cs="Times New Roman"/>
          <w:kern w:val="0"/>
          <w14:ligatures w14:val="none"/>
        </w:rPr>
        <w:tab/>
        <w:t xml:space="preserve">Finally, in some cases, </w:t>
      </w:r>
      <w:proofErr w:type="gramStart"/>
      <w:r w:rsidRPr="009C2346">
        <w:rPr>
          <w:rFonts w:ascii="Times New Roman" w:eastAsia="Calibri" w:hAnsi="Times New Roman" w:cs="Times New Roman"/>
          <w:kern w:val="0"/>
          <w14:ligatures w14:val="none"/>
        </w:rPr>
        <w:t>whether or not</w:t>
      </w:r>
      <w:proofErr w:type="gramEnd"/>
      <w:r w:rsidRPr="009C2346">
        <w:rPr>
          <w:rFonts w:ascii="Times New Roman" w:eastAsia="Calibri" w:hAnsi="Times New Roman" w:cs="Times New Roman"/>
          <w:kern w:val="0"/>
          <w14:ligatures w14:val="none"/>
        </w:rPr>
        <w:t xml:space="preserve"> to give deference to prison officials should be left to the jury to decide. </w:t>
      </w:r>
      <w:r w:rsidRPr="009C2346">
        <w:rPr>
          <w:rFonts w:ascii="Times New Roman" w:eastAsia="Calibri" w:hAnsi="Times New Roman" w:cs="Times New Roman"/>
          <w:i/>
          <w:iCs/>
          <w:kern w:val="0"/>
          <w14:ligatures w14:val="none"/>
        </w:rPr>
        <w:t xml:space="preserve">Coston, </w:t>
      </w:r>
      <w:r w:rsidRPr="009C2346">
        <w:rPr>
          <w:rFonts w:ascii="Times New Roman" w:eastAsia="Calibri" w:hAnsi="Times New Roman" w:cs="Times New Roman"/>
          <w:kern w:val="0"/>
          <w14:ligatures w14:val="none"/>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9C2346">
        <w:rPr>
          <w:rFonts w:ascii="Times New Roman" w:eastAsia="Calibri" w:hAnsi="Times New Roman" w:cs="Times New Roman"/>
          <w:i/>
          <w:kern w:val="0"/>
          <w14:ligatures w14:val="none"/>
        </w:rPr>
        <w:t>Coston</w:t>
      </w:r>
      <w:r w:rsidRPr="009C2346">
        <w:rPr>
          <w:rFonts w:ascii="Times New Roman" w:eastAsia="Calibri" w:hAnsi="Times New Roman" w:cs="Times New Roman"/>
          <w:kern w:val="0"/>
          <w14:ligatures w14:val="none"/>
        </w:rPr>
        <w:t xml:space="preserve">, 13 F.4th at 735, then “it might be appropriate to instruct the jury that ‘whether to give deference to prison officials [is] left to the jury to decide.’” </w:t>
      </w:r>
      <w:r w:rsidRPr="009C2346">
        <w:rPr>
          <w:rFonts w:ascii="Times New Roman" w:eastAsia="Calibri" w:hAnsi="Times New Roman" w:cs="Times New Roman"/>
          <w:i/>
          <w:kern w:val="0"/>
          <w14:ligatures w14:val="none"/>
        </w:rPr>
        <w:t>Fierro</w:t>
      </w:r>
      <w:r w:rsidRPr="009C2346">
        <w:rPr>
          <w:rFonts w:ascii="Times New Roman" w:eastAsia="Calibri" w:hAnsi="Times New Roman" w:cs="Times New Roman"/>
          <w:kern w:val="0"/>
          <w14:ligatures w14:val="none"/>
        </w:rPr>
        <w:t>, 39 F.4th</w:t>
      </w:r>
      <w:r w:rsidRPr="009C2346">
        <w:rPr>
          <w:rFonts w:ascii="Times New Roman" w:eastAsia="Calibri" w:hAnsi="Times New Roman" w:cs="Times New Roman"/>
          <w:i/>
          <w:kern w:val="0"/>
          <w14:ligatures w14:val="none"/>
        </w:rPr>
        <w:t xml:space="preserve"> </w:t>
      </w:r>
      <w:r w:rsidRPr="009C2346">
        <w:rPr>
          <w:rFonts w:ascii="Times New Roman" w:eastAsia="Calibri" w:hAnsi="Times New Roman" w:cs="Times New Roman"/>
          <w:kern w:val="0"/>
          <w14:ligatures w14:val="none"/>
        </w:rPr>
        <w:t xml:space="preserve">at 648-49 (citing </w:t>
      </w:r>
      <w:r w:rsidRPr="009C2346">
        <w:rPr>
          <w:rFonts w:ascii="Times New Roman" w:eastAsia="Calibri" w:hAnsi="Times New Roman" w:cs="Times New Roman"/>
          <w:i/>
          <w:kern w:val="0"/>
          <w14:ligatures w14:val="none"/>
        </w:rPr>
        <w:t>Coston</w:t>
      </w:r>
      <w:r w:rsidRPr="009C2346">
        <w:rPr>
          <w:rFonts w:ascii="Times New Roman" w:eastAsia="Calibri" w:hAnsi="Times New Roman" w:cs="Times New Roman"/>
          <w:kern w:val="0"/>
          <w14:ligatures w14:val="none"/>
        </w:rPr>
        <w:t>, 13 F.4th at 735).</w:t>
      </w:r>
    </w:p>
    <w:p w14:paraId="15C0510A" w14:textId="77777777" w:rsidR="009C2346" w:rsidRPr="009C2346" w:rsidRDefault="009C2346" w:rsidP="009C2346">
      <w:pPr>
        <w:autoSpaceDE w:val="0"/>
        <w:autoSpaceDN w:val="0"/>
        <w:adjustRightInd w:val="0"/>
        <w:spacing w:after="0" w:line="240" w:lineRule="auto"/>
        <w:rPr>
          <w:rFonts w:ascii="Times New Roman" w:eastAsia="Times New Roman" w:hAnsi="Times New Roman" w:cs="Times New Roman"/>
          <w:kern w:val="0"/>
          <w:shd w:val="clear" w:color="auto" w:fill="FFFFFF"/>
          <w14:ligatures w14:val="none"/>
        </w:rPr>
      </w:pPr>
    </w:p>
    <w:p w14:paraId="0DF1A249" w14:textId="77777777" w:rsidR="009C2346" w:rsidRPr="009C2346" w:rsidRDefault="009C2346" w:rsidP="009C2346">
      <w:pPr>
        <w:spacing w:after="0" w:line="240" w:lineRule="auto"/>
        <w:ind w:firstLine="720"/>
        <w:rPr>
          <w:rFonts w:ascii="Times New Roman" w:eastAsia="Calibri" w:hAnsi="Times New Roman" w:cs="Times New Roman"/>
          <w:kern w:val="0"/>
          <w14:ligatures w14:val="none"/>
        </w:rPr>
      </w:pPr>
      <w:r w:rsidRPr="009C2346">
        <w:rPr>
          <w:rFonts w:ascii="Times New Roman" w:eastAsia="Times New Roman" w:hAnsi="Times New Roman" w:cs="Times New Roman"/>
          <w:kern w:val="0"/>
          <w:shd w:val="clear" w:color="auto" w:fill="FFFFFF"/>
          <w14:ligatures w14:val="none"/>
        </w:rPr>
        <w:t xml:space="preserve">This framework also applies to pretrial detainees challenging use of force and other conditions of confinement. </w:t>
      </w:r>
      <w:r w:rsidRPr="009C2346">
        <w:rPr>
          <w:rFonts w:ascii="Times New Roman" w:eastAsia="Times New Roman" w:hAnsi="Times New Roman" w:cs="Times New Roman"/>
          <w:i/>
          <w:iCs/>
          <w:kern w:val="0"/>
          <w:shd w:val="clear" w:color="auto" w:fill="FFFFFF"/>
          <w14:ligatures w14:val="none"/>
        </w:rPr>
        <w:t>See Fierro</w:t>
      </w:r>
      <w:r w:rsidRPr="009C2346">
        <w:rPr>
          <w:rFonts w:ascii="Times New Roman" w:eastAsia="Times New Roman" w:hAnsi="Times New Roman" w:cs="Times New Roman"/>
          <w:kern w:val="0"/>
          <w:shd w:val="clear" w:color="auto" w:fill="FFFFFF"/>
          <w14:ligatures w14:val="none"/>
        </w:rPr>
        <w:t xml:space="preserve">, 39 F.4th 648. n. 6 (“This framework also applies to pretrial detainees challenging their conditions of confinement under the Fourteenth </w:t>
      </w:r>
      <w:r w:rsidRPr="009C2346">
        <w:rPr>
          <w:rFonts w:ascii="Times New Roman" w:eastAsia="Times New Roman" w:hAnsi="Times New Roman" w:cs="Times New Roman"/>
          <w:kern w:val="0"/>
          <w:shd w:val="clear" w:color="auto" w:fill="FFFFFF"/>
          <w14:ligatures w14:val="none"/>
        </w:rPr>
        <w:lastRenderedPageBreak/>
        <w:t xml:space="preserve">Amendment.”). A court must also account for the “legitimate interests that stem from [the government’s] need to manage the facility in which the individual is detained,” appropriately deferring to “policies and practices that in </w:t>
      </w:r>
      <w:proofErr w:type="spellStart"/>
      <w:r w:rsidRPr="009C2346">
        <w:rPr>
          <w:rFonts w:ascii="Times New Roman" w:eastAsia="Times New Roman" w:hAnsi="Times New Roman" w:cs="Times New Roman"/>
          <w:kern w:val="0"/>
          <w:shd w:val="clear" w:color="auto" w:fill="FFFFFF"/>
          <w14:ligatures w14:val="none"/>
        </w:rPr>
        <w:t>th</w:t>
      </w:r>
      <w:proofErr w:type="spellEnd"/>
      <w:r w:rsidRPr="009C2346">
        <w:rPr>
          <w:rFonts w:ascii="Times New Roman" w:eastAsia="Times New Roman" w:hAnsi="Times New Roman" w:cs="Times New Roman"/>
          <w:kern w:val="0"/>
          <w:shd w:val="clear" w:color="auto" w:fill="FFFFFF"/>
          <w14:ligatures w14:val="none"/>
        </w:rPr>
        <w:t>[e] judgment” of jail officials “are needed to preserve internal order and discipline and to maintain institutional security.”</w:t>
      </w:r>
      <w:r w:rsidRPr="009C2346">
        <w:rPr>
          <w:rFonts w:ascii="Times New Roman" w:eastAsia="Times New Roman" w:hAnsi="Times New Roman" w:cs="Times New Roman"/>
          <w:i/>
          <w:iCs/>
          <w:kern w:val="0"/>
          <w:shd w:val="clear" w:color="auto" w:fill="FFFFFF"/>
          <w14:ligatures w14:val="none"/>
        </w:rPr>
        <w:t xml:space="preserve"> Kingsley</w:t>
      </w:r>
      <w:r w:rsidRPr="009C2346">
        <w:rPr>
          <w:rFonts w:ascii="Times New Roman" w:eastAsia="Times New Roman" w:hAnsi="Times New Roman" w:cs="Times New Roman"/>
          <w:kern w:val="0"/>
          <w:shd w:val="clear" w:color="auto" w:fill="FFFFFF"/>
          <w14:ligatures w14:val="none"/>
        </w:rPr>
        <w:t xml:space="preserve">, 576 U.S. at 397 (quoting </w:t>
      </w:r>
      <w:r w:rsidRPr="009C2346">
        <w:rPr>
          <w:rFonts w:ascii="Times New Roman" w:eastAsia="Times New Roman" w:hAnsi="Times New Roman" w:cs="Times New Roman"/>
          <w:i/>
          <w:iCs/>
          <w:kern w:val="0"/>
          <w:shd w:val="clear" w:color="auto" w:fill="FFFFFF"/>
          <w14:ligatures w14:val="none"/>
        </w:rPr>
        <w:t>Bell</w:t>
      </w:r>
      <w:r w:rsidRPr="009C2346">
        <w:rPr>
          <w:rFonts w:ascii="Times New Roman" w:eastAsia="Times New Roman" w:hAnsi="Times New Roman" w:cs="Times New Roman"/>
          <w:kern w:val="0"/>
          <w:shd w:val="clear" w:color="auto" w:fill="FFFFFF"/>
          <w14:ligatures w14:val="none"/>
        </w:rPr>
        <w:t xml:space="preserve">, 441 U.S. at 540). </w:t>
      </w:r>
      <w:r w:rsidRPr="009C2346">
        <w:rPr>
          <w:rFonts w:ascii="Times New Roman" w:eastAsia="Times New Roman" w:hAnsi="Times New Roman" w:cs="Times New Roman"/>
          <w:i/>
          <w:iCs/>
          <w:kern w:val="0"/>
          <w:shd w:val="clear" w:color="auto" w:fill="FFFFFF"/>
          <w14:ligatures w14:val="none"/>
        </w:rPr>
        <w:t>See also Bell v. Williams</w:t>
      </w:r>
      <w:r w:rsidRPr="009C2346">
        <w:rPr>
          <w:rFonts w:ascii="Times New Roman" w:eastAsia="Times New Roman" w:hAnsi="Times New Roman" w:cs="Times New Roman"/>
          <w:kern w:val="0"/>
          <w:shd w:val="clear" w:color="auto" w:fill="FFFFFF"/>
          <w14:ligatures w14:val="none"/>
        </w:rPr>
        <w:t>, 108 F.4th 809,828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09EB8019" w14:textId="77777777" w:rsidR="009C2346" w:rsidRPr="009C2346" w:rsidRDefault="009C2346" w:rsidP="009C2346">
      <w:pPr>
        <w:autoSpaceDE w:val="0"/>
        <w:autoSpaceDN w:val="0"/>
        <w:adjustRightInd w:val="0"/>
        <w:spacing w:after="0" w:line="240" w:lineRule="auto"/>
        <w:rPr>
          <w:rFonts w:ascii="Times New Roman" w:eastAsia="Calibri" w:hAnsi="Times New Roman" w:cs="Times New Roman"/>
          <w:kern w:val="0"/>
          <w14:ligatures w14:val="none"/>
        </w:rPr>
      </w:pPr>
    </w:p>
    <w:p w14:paraId="2A9DEDB0" w14:textId="77777777" w:rsidR="009C2346" w:rsidRPr="009C2346" w:rsidRDefault="009C2346" w:rsidP="009C2346">
      <w:pPr>
        <w:autoSpaceDE w:val="0"/>
        <w:autoSpaceDN w:val="0"/>
        <w:adjustRightInd w:val="0"/>
        <w:spacing w:after="0" w:line="240" w:lineRule="auto"/>
        <w:rPr>
          <w:rFonts w:ascii="Times New Roman" w:eastAsia="Calibri" w:hAnsi="Times New Roman" w:cs="Times New Roman"/>
          <w:kern w:val="0"/>
          <w14:ligatures w14:val="none"/>
        </w:rPr>
      </w:pPr>
      <w:r w:rsidRPr="009C2346">
        <w:rPr>
          <w:rFonts w:ascii="Times New Roman" w:eastAsia="Calibri" w:hAnsi="Times New Roman" w:cs="Times New Roman"/>
          <w:kern w:val="0"/>
          <w14:ligatures w14:val="none"/>
        </w:rPr>
        <w:tab/>
        <w:t xml:space="preserve">The Fourth Amendment may also be applicable. In </w:t>
      </w:r>
      <w:r w:rsidRPr="009C2346">
        <w:rPr>
          <w:rFonts w:ascii="Times New Roman" w:eastAsia="Calibri" w:hAnsi="Times New Roman" w:cs="Times New Roman"/>
          <w:i/>
          <w:kern w:val="0"/>
          <w14:ligatures w14:val="none"/>
        </w:rPr>
        <w:t>Graham v. Connor</w:t>
      </w:r>
      <w:r w:rsidRPr="009C2346">
        <w:rPr>
          <w:rFonts w:ascii="Times New Roman" w:eastAsia="Calibri" w:hAnsi="Times New Roman" w:cs="Times New Roman"/>
          <w:kern w:val="0"/>
          <w14:ligatures w14:val="none"/>
        </w:rPr>
        <w:t>, 490 U.S. 386,</w:t>
      </w:r>
    </w:p>
    <w:p w14:paraId="07B45208" w14:textId="77777777" w:rsidR="009C2346" w:rsidRPr="009C2346" w:rsidRDefault="009C2346" w:rsidP="009C2346">
      <w:pPr>
        <w:autoSpaceDE w:val="0"/>
        <w:autoSpaceDN w:val="0"/>
        <w:adjustRightInd w:val="0"/>
        <w:spacing w:after="0" w:line="240" w:lineRule="auto"/>
        <w:rPr>
          <w:rFonts w:ascii="Times New Roman" w:eastAsia="Calibri" w:hAnsi="Times New Roman" w:cs="Times New Roman"/>
          <w:kern w:val="0"/>
          <w14:ligatures w14:val="none"/>
        </w:rPr>
      </w:pPr>
      <w:r w:rsidRPr="009C2346">
        <w:rPr>
          <w:rFonts w:ascii="Times New Roman" w:eastAsia="Calibri" w:hAnsi="Times New Roman" w:cs="Times New Roman"/>
          <w:kern w:val="0"/>
          <w14:ligatures w14:val="none"/>
        </w:rPr>
        <w:t>395 n.10 (1989), the Supreme Court observed that it was an open question “whether the Fourth</w:t>
      </w:r>
    </w:p>
    <w:p w14:paraId="2BBBAF42" w14:textId="77777777" w:rsidR="009C2346" w:rsidRPr="009C2346" w:rsidRDefault="009C2346" w:rsidP="009C2346">
      <w:pPr>
        <w:autoSpaceDE w:val="0"/>
        <w:autoSpaceDN w:val="0"/>
        <w:adjustRightInd w:val="0"/>
        <w:spacing w:after="0" w:line="240" w:lineRule="auto"/>
        <w:rPr>
          <w:rFonts w:ascii="Times New Roman" w:eastAsia="Calibri" w:hAnsi="Times New Roman" w:cs="Times New Roman"/>
          <w:kern w:val="0"/>
          <w14:ligatures w14:val="none"/>
        </w:rPr>
      </w:pPr>
      <w:r w:rsidRPr="009C2346">
        <w:rPr>
          <w:rFonts w:ascii="Times New Roman" w:eastAsia="Calibri" w:hAnsi="Times New Roman" w:cs="Times New Roman"/>
          <w:kern w:val="0"/>
          <w14:ligatures w14:val="none"/>
        </w:rPr>
        <w:t>Amendment continues to provide individuals with protection against deliberate use of excessive</w:t>
      </w:r>
    </w:p>
    <w:p w14:paraId="5A3F5336" w14:textId="77777777" w:rsidR="009C2346" w:rsidRPr="009C2346" w:rsidRDefault="009C2346" w:rsidP="009C2346">
      <w:pPr>
        <w:autoSpaceDE w:val="0"/>
        <w:autoSpaceDN w:val="0"/>
        <w:adjustRightInd w:val="0"/>
        <w:spacing w:after="0" w:line="240" w:lineRule="auto"/>
        <w:rPr>
          <w:rFonts w:ascii="Times New Roman" w:eastAsia="Calibri" w:hAnsi="Times New Roman" w:cs="Times New Roman"/>
          <w:kern w:val="0"/>
          <w14:ligatures w14:val="none"/>
        </w:rPr>
      </w:pPr>
      <w:r w:rsidRPr="009C2346">
        <w:rPr>
          <w:rFonts w:ascii="Times New Roman" w:eastAsia="Calibri" w:hAnsi="Times New Roman" w:cs="Times New Roman"/>
          <w:kern w:val="0"/>
          <w14:ligatures w14:val="none"/>
        </w:rPr>
        <w:t>physical force beyond the point at which arrest ends and pretrial detention begins.” But with</w:t>
      </w:r>
    </w:p>
    <w:p w14:paraId="4A682F75" w14:textId="77777777" w:rsidR="009C2346" w:rsidRPr="009C2346" w:rsidRDefault="009C2346" w:rsidP="009C2346">
      <w:pPr>
        <w:autoSpaceDE w:val="0"/>
        <w:autoSpaceDN w:val="0"/>
        <w:adjustRightInd w:val="0"/>
        <w:spacing w:after="0" w:line="240" w:lineRule="auto"/>
        <w:rPr>
          <w:rFonts w:ascii="Times New Roman" w:eastAsia="Calibri" w:hAnsi="Times New Roman" w:cs="Times New Roman"/>
          <w:kern w:val="0"/>
          <w14:ligatures w14:val="none"/>
        </w:rPr>
      </w:pPr>
      <w:r w:rsidRPr="009C2346">
        <w:rPr>
          <w:rFonts w:ascii="Times New Roman" w:eastAsia="Calibri" w:hAnsi="Times New Roman" w:cs="Times New Roman"/>
          <w:kern w:val="0"/>
          <w14:ligatures w14:val="none"/>
        </w:rPr>
        <w:t xml:space="preserve">regard to pre-arraignment custody, the Ninth Circuit </w:t>
      </w:r>
      <w:proofErr w:type="gramStart"/>
      <w:r w:rsidRPr="009C2346">
        <w:rPr>
          <w:rFonts w:ascii="Times New Roman" w:eastAsia="Calibri" w:hAnsi="Times New Roman" w:cs="Times New Roman"/>
          <w:kern w:val="0"/>
          <w14:ligatures w14:val="none"/>
        </w:rPr>
        <w:t>held that</w:t>
      </w:r>
      <w:proofErr w:type="gramEnd"/>
      <w:r w:rsidRPr="009C2346">
        <w:rPr>
          <w:rFonts w:ascii="Times New Roman" w:eastAsia="Calibri" w:hAnsi="Times New Roman" w:cs="Times New Roman"/>
          <w:kern w:val="0"/>
          <w14:ligatures w14:val="none"/>
        </w:rPr>
        <w:t xml:space="preserve"> the Fourth Amendment</w:t>
      </w:r>
    </w:p>
    <w:p w14:paraId="19F18A7A" w14:textId="77777777" w:rsidR="009C2346" w:rsidRPr="009C2346" w:rsidRDefault="009C2346" w:rsidP="009C2346">
      <w:pPr>
        <w:autoSpaceDE w:val="0"/>
        <w:autoSpaceDN w:val="0"/>
        <w:adjustRightInd w:val="0"/>
        <w:spacing w:after="0" w:line="240" w:lineRule="auto"/>
        <w:rPr>
          <w:rFonts w:ascii="Times New Roman" w:eastAsia="Calibri" w:hAnsi="Times New Roman" w:cs="Times New Roman"/>
          <w:kern w:val="0"/>
          <w14:ligatures w14:val="none"/>
        </w:rPr>
      </w:pPr>
      <w:r w:rsidRPr="009C2346">
        <w:rPr>
          <w:rFonts w:ascii="Times New Roman" w:eastAsia="Calibri" w:hAnsi="Times New Roman" w:cs="Times New Roman"/>
          <w:kern w:val="0"/>
          <w14:ligatures w14:val="none"/>
        </w:rPr>
        <w:t xml:space="preserve">provides protection against the use of excessive force. </w:t>
      </w:r>
      <w:r w:rsidRPr="009C2346">
        <w:rPr>
          <w:rFonts w:ascii="Times New Roman" w:eastAsia="Calibri" w:hAnsi="Times New Roman" w:cs="Times New Roman"/>
          <w:i/>
          <w:kern w:val="0"/>
          <w14:ligatures w14:val="none"/>
        </w:rPr>
        <w:t>Pierce v. Multnomah County</w:t>
      </w:r>
      <w:r w:rsidRPr="009C2346">
        <w:rPr>
          <w:rFonts w:ascii="Times New Roman" w:eastAsia="Calibri" w:hAnsi="Times New Roman" w:cs="Times New Roman"/>
          <w:kern w:val="0"/>
          <w14:ligatures w14:val="none"/>
        </w:rPr>
        <w:t>, 76 F.3d</w:t>
      </w:r>
    </w:p>
    <w:p w14:paraId="625A1E2B" w14:textId="77777777" w:rsidR="009C2346" w:rsidRPr="009C2346" w:rsidRDefault="009C2346" w:rsidP="009C2346">
      <w:pPr>
        <w:autoSpaceDE w:val="0"/>
        <w:autoSpaceDN w:val="0"/>
        <w:adjustRightInd w:val="0"/>
        <w:spacing w:after="0" w:line="240" w:lineRule="auto"/>
        <w:rPr>
          <w:rFonts w:ascii="Times New Roman" w:eastAsia="Calibri" w:hAnsi="Times New Roman" w:cs="Times New Roman"/>
          <w:kern w:val="0"/>
          <w14:ligatures w14:val="none"/>
        </w:rPr>
      </w:pPr>
      <w:r w:rsidRPr="009C2346">
        <w:rPr>
          <w:rFonts w:ascii="Times New Roman" w:eastAsia="Calibri" w:hAnsi="Times New Roman" w:cs="Times New Roman"/>
          <w:kern w:val="0"/>
          <w14:ligatures w14:val="none"/>
        </w:rPr>
        <w:t>1032, 1043 (9th Cir. 1996) (“We hold, therefore, that the Fourth Amendment sets the applicable constitutional limitations on the treatment of an arrestee detained without a warrant up until the time such arrestee is released or found to be legally in custody based upon probable cause for arrest.”).</w:t>
      </w:r>
    </w:p>
    <w:p w14:paraId="36444C23" w14:textId="77777777" w:rsidR="009C2346" w:rsidRPr="009C2346" w:rsidRDefault="009C2346" w:rsidP="009C2346">
      <w:pPr>
        <w:spacing w:after="0" w:line="240" w:lineRule="auto"/>
        <w:rPr>
          <w:rFonts w:ascii="Times New Roman" w:eastAsia="Calibri" w:hAnsi="Times New Roman" w:cs="Times New Roman"/>
          <w:kern w:val="0"/>
          <w14:ligatures w14:val="none"/>
        </w:rPr>
      </w:pPr>
    </w:p>
    <w:p w14:paraId="75299F7F" w14:textId="77777777" w:rsidR="009C2346" w:rsidRPr="009C2346" w:rsidRDefault="009C2346" w:rsidP="009C2346">
      <w:pPr>
        <w:spacing w:after="0" w:line="240" w:lineRule="auto"/>
        <w:rPr>
          <w:rFonts w:ascii="Times New Roman" w:eastAsia="Calibri" w:hAnsi="Times New Roman" w:cs="Times New Roman"/>
          <w:kern w:val="0"/>
          <w14:ligatures w14:val="none"/>
        </w:rPr>
      </w:pPr>
      <w:r w:rsidRPr="009C2346">
        <w:rPr>
          <w:rFonts w:ascii="Times New Roman" w:eastAsia="Calibri" w:hAnsi="Times New Roman" w:cs="Times New Roman"/>
          <w:kern w:val="0"/>
          <w14:ligatures w14:val="none"/>
        </w:rPr>
        <w:tab/>
        <w:t xml:space="preserve">In </w:t>
      </w:r>
      <w:r w:rsidRPr="009C2346">
        <w:rPr>
          <w:rFonts w:ascii="Times New Roman" w:eastAsia="Calibri" w:hAnsi="Times New Roman" w:cs="Times New Roman"/>
          <w:i/>
          <w:kern w:val="0"/>
          <w14:ligatures w14:val="none"/>
        </w:rPr>
        <w:t>Alexander v. Nguyen</w:t>
      </w:r>
      <w:r w:rsidRPr="009C2346">
        <w:rPr>
          <w:rFonts w:ascii="Times New Roman" w:eastAsia="Calibri" w:hAnsi="Times New Roman" w:cs="Times New Roman"/>
          <w:kern w:val="0"/>
          <w14:ligatures w14:val="none"/>
        </w:rPr>
        <w:t xml:space="preserve">, 78 F.4th 1140, 1144 (9th Cir. 2023), the Ninth Circuit noted that “the law governing pretrial detainees’ claims of inadequate medical care and other dangerous conditions of confinement is still developing in the wake of the Supreme Court’s decision in </w:t>
      </w:r>
      <w:bookmarkStart w:id="1" w:name="_Hlk157761360"/>
      <w:r w:rsidRPr="009C2346">
        <w:rPr>
          <w:rFonts w:ascii="Times New Roman" w:eastAsia="Calibri" w:hAnsi="Times New Roman" w:cs="Times New Roman"/>
          <w:i/>
          <w:kern w:val="0"/>
          <w14:ligatures w14:val="none"/>
        </w:rPr>
        <w:t>Kingsley v. Hendrickson</w:t>
      </w:r>
      <w:r w:rsidRPr="009C2346">
        <w:rPr>
          <w:rFonts w:ascii="Times New Roman" w:eastAsia="Calibri" w:hAnsi="Times New Roman" w:cs="Times New Roman"/>
          <w:kern w:val="0"/>
          <w14:ligatures w14:val="none"/>
        </w:rPr>
        <w:t>, 576 U.S. 389 (2015)</w:t>
      </w:r>
      <w:bookmarkEnd w:id="1"/>
      <w:r w:rsidRPr="009C2346">
        <w:rPr>
          <w:rFonts w:ascii="Times New Roman" w:eastAsia="Calibri" w:hAnsi="Times New Roman" w:cs="Times New Roman"/>
          <w:kern w:val="0"/>
          <w14:ligatures w14:val="none"/>
        </w:rPr>
        <w:t xml:space="preserve">.” </w:t>
      </w:r>
      <w:r w:rsidRPr="009C2346">
        <w:rPr>
          <w:rFonts w:ascii="Times New Roman" w:eastAsia="Calibri" w:hAnsi="Times New Roman" w:cs="Times New Roman"/>
          <w:i/>
          <w:kern w:val="0"/>
          <w14:ligatures w14:val="none"/>
        </w:rPr>
        <w:t>Alexander</w:t>
      </w:r>
      <w:r w:rsidRPr="009C2346">
        <w:rPr>
          <w:rFonts w:ascii="Times New Roman" w:eastAsia="Calibri" w:hAnsi="Times New Roman" w:cs="Times New Roman"/>
          <w:kern w:val="0"/>
          <w14:ligatures w14:val="none"/>
        </w:rPr>
        <w:t xml:space="preserve"> involved </w:t>
      </w:r>
      <w:proofErr w:type="gramStart"/>
      <w:r w:rsidRPr="009C2346">
        <w:rPr>
          <w:rFonts w:ascii="Times New Roman" w:eastAsia="Calibri" w:hAnsi="Times New Roman" w:cs="Times New Roman"/>
          <w:kern w:val="0"/>
          <w14:ligatures w14:val="none"/>
        </w:rPr>
        <w:t>alleged failure</w:t>
      </w:r>
      <w:proofErr w:type="gramEnd"/>
      <w:r w:rsidRPr="009C2346">
        <w:rPr>
          <w:rFonts w:ascii="Times New Roman" w:eastAsia="Calibri" w:hAnsi="Times New Roman" w:cs="Times New Roman"/>
          <w:kern w:val="0"/>
          <w14:ligatures w14:val="none"/>
        </w:rPr>
        <w:t xml:space="preserve"> to prevent violence among pretrial detainees. After Alexander was injured by another pretrial detainee, the defendant doctor evaluated the circumstances, consulted with others, and opted not to move Alexander. Less than two weeks later, the same pretrial detainee struck Alexander again. The Ninth Circuit concluded under </w:t>
      </w:r>
      <w:r w:rsidRPr="009C2346">
        <w:rPr>
          <w:rFonts w:ascii="Times New Roman" w:eastAsia="Calibri" w:hAnsi="Times New Roman" w:cs="Times New Roman"/>
          <w:i/>
          <w:kern w:val="0"/>
          <w14:ligatures w14:val="none"/>
        </w:rPr>
        <w:t>Gordon</w:t>
      </w:r>
      <w:r w:rsidRPr="009C2346">
        <w:rPr>
          <w:rFonts w:ascii="Times New Roman" w:eastAsia="Calibri" w:hAnsi="Times New Roman" w:cs="Times New Roman"/>
          <w:kern w:val="0"/>
          <w14:ligatures w14:val="none"/>
        </w:rPr>
        <w:t xml:space="preserve"> that “[t]</w:t>
      </w:r>
      <w:proofErr w:type="spellStart"/>
      <w:r w:rsidRPr="009C2346">
        <w:rPr>
          <w:rFonts w:ascii="Times New Roman" w:eastAsia="Calibri" w:hAnsi="Times New Roman" w:cs="Times New Roman"/>
          <w:kern w:val="0"/>
          <w14:ligatures w14:val="none"/>
        </w:rPr>
        <w:t>hough</w:t>
      </w:r>
      <w:proofErr w:type="spellEnd"/>
      <w:r w:rsidRPr="009C2346">
        <w:rPr>
          <w:rFonts w:ascii="Times New Roman" w:eastAsia="Calibri" w:hAnsi="Times New Roman" w:cs="Times New Roman"/>
          <w:kern w:val="0"/>
          <w14:ligatures w14:val="none"/>
        </w:rPr>
        <w:t xml:space="preserve"> Alexander was, regrettably, attacked a second time, the evidence shows that </w:t>
      </w:r>
      <w:bookmarkStart w:id="2" w:name="_Hlk179274050"/>
      <w:r w:rsidRPr="009C2346">
        <w:rPr>
          <w:rFonts w:ascii="Times New Roman" w:eastAsia="Calibri" w:hAnsi="Times New Roman" w:cs="Times New Roman"/>
          <w:kern w:val="0"/>
          <w14:ligatures w14:val="none"/>
        </w:rPr>
        <w:t xml:space="preserve">[the defendant doctor’s] </w:t>
      </w:r>
      <w:bookmarkEnd w:id="2"/>
      <w:r w:rsidRPr="009C2346">
        <w:rPr>
          <w:rFonts w:ascii="Times New Roman" w:eastAsia="Calibri" w:hAnsi="Times New Roman" w:cs="Times New Roman"/>
          <w:kern w:val="0"/>
          <w14:ligatures w14:val="none"/>
        </w:rPr>
        <w:t>responses to both incidents were thorough and careful.”</w:t>
      </w:r>
      <w:r w:rsidRPr="009C2346">
        <w:rPr>
          <w:rFonts w:ascii="Times New Roman" w:eastAsia="Calibri" w:hAnsi="Times New Roman" w:cs="Times New Roman"/>
          <w:i/>
          <w:kern w:val="0"/>
          <w14:ligatures w14:val="none"/>
        </w:rPr>
        <w:t xml:space="preserve"> Alexander</w:t>
      </w:r>
      <w:r w:rsidRPr="009C2346">
        <w:rPr>
          <w:rFonts w:ascii="Times New Roman" w:eastAsia="Calibri" w:hAnsi="Times New Roman" w:cs="Times New Roman"/>
          <w:kern w:val="0"/>
          <w14:ligatures w14:val="none"/>
        </w:rPr>
        <w:t>, 78 F.4th at 1145 (“[T]</w:t>
      </w:r>
      <w:proofErr w:type="gramStart"/>
      <w:r w:rsidRPr="009C2346">
        <w:rPr>
          <w:rFonts w:ascii="Times New Roman" w:eastAsia="Calibri" w:hAnsi="Times New Roman" w:cs="Times New Roman"/>
          <w:kern w:val="0"/>
          <w14:ligatures w14:val="none"/>
        </w:rPr>
        <w:t>he</w:t>
      </w:r>
      <w:proofErr w:type="gramEnd"/>
      <w:r w:rsidRPr="009C2346">
        <w:rPr>
          <w:rFonts w:ascii="Times New Roman" w:eastAsia="Calibri" w:hAnsi="Times New Roman" w:cs="Times New Roman"/>
          <w:kern w:val="0"/>
          <w14:ligatures w14:val="none"/>
        </w:rPr>
        <w:t xml:space="preserve"> benefit of hindsight from the fact that Alexander was attacked a second time [by the same pretrial detainee] does not show that [the defendant doctor’s] original decision was unreasonable.”).</w:t>
      </w:r>
    </w:p>
    <w:p w14:paraId="58D8C199" w14:textId="77777777" w:rsidR="009C2346" w:rsidRPr="009C2346" w:rsidRDefault="009C2346" w:rsidP="009C2346">
      <w:pPr>
        <w:spacing w:after="0" w:line="240" w:lineRule="auto"/>
        <w:rPr>
          <w:rFonts w:ascii="Times New Roman" w:eastAsia="Calibri" w:hAnsi="Times New Roman" w:cs="Times New Roman"/>
          <w:kern w:val="0"/>
          <w14:ligatures w14:val="none"/>
        </w:rPr>
      </w:pPr>
    </w:p>
    <w:p w14:paraId="0E87EB2B" w14:textId="77777777" w:rsidR="009C2346" w:rsidRPr="009C2346" w:rsidRDefault="009C2346" w:rsidP="009C2346">
      <w:pPr>
        <w:spacing w:after="0" w:line="240" w:lineRule="auto"/>
        <w:jc w:val="right"/>
        <w:rPr>
          <w:rFonts w:ascii="Times New Roman" w:eastAsia="Calibri" w:hAnsi="Times New Roman" w:cs="Times New Roman"/>
          <w:kern w:val="0"/>
          <w14:ligatures w14:val="none"/>
        </w:rPr>
      </w:pPr>
      <w:r w:rsidRPr="009C2346">
        <w:rPr>
          <w:rFonts w:ascii="Times New Roman" w:eastAsia="Calibri" w:hAnsi="Times New Roman" w:cs="Times New Roman"/>
          <w:i/>
          <w:iCs/>
          <w:kern w:val="0"/>
          <w14:ligatures w14:val="none"/>
        </w:rPr>
        <w:t>Revised September 2025</w:t>
      </w:r>
    </w:p>
    <w:p w14:paraId="67C12F7A" w14:textId="53DC6BA6" w:rsidR="00147419" w:rsidRDefault="00147419" w:rsidP="009C2346">
      <w:pPr>
        <w:spacing w:after="0" w:line="240" w:lineRule="auto"/>
      </w:pPr>
    </w:p>
    <w:sectPr w:rsidR="0014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BA"/>
    <w:rsid w:val="00147419"/>
    <w:rsid w:val="001F5CAF"/>
    <w:rsid w:val="00272ABA"/>
    <w:rsid w:val="0042339F"/>
    <w:rsid w:val="007E0761"/>
    <w:rsid w:val="00920AE5"/>
    <w:rsid w:val="009C2346"/>
    <w:rsid w:val="00A07AC9"/>
    <w:rsid w:val="00B951E2"/>
    <w:rsid w:val="00C36D00"/>
    <w:rsid w:val="00D04691"/>
    <w:rsid w:val="00D54CA4"/>
    <w:rsid w:val="00F5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A4F05"/>
  <w15:chartTrackingRefBased/>
  <w15:docId w15:val="{B2D4E8DC-4488-4374-A37F-48F4E8F6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A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A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A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A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A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A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A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A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A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A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A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A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A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A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A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A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A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ABA"/>
    <w:rPr>
      <w:rFonts w:eastAsiaTheme="majorEastAsia" w:cstheme="majorBidi"/>
      <w:color w:val="272727" w:themeColor="text1" w:themeTint="D8"/>
    </w:rPr>
  </w:style>
  <w:style w:type="paragraph" w:styleId="Title">
    <w:name w:val="Title"/>
    <w:basedOn w:val="Normal"/>
    <w:next w:val="Normal"/>
    <w:link w:val="TitleChar"/>
    <w:uiPriority w:val="10"/>
    <w:qFormat/>
    <w:rsid w:val="0027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A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A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A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ABA"/>
    <w:pPr>
      <w:spacing w:before="160"/>
      <w:jc w:val="center"/>
    </w:pPr>
    <w:rPr>
      <w:i/>
      <w:iCs/>
      <w:color w:val="404040" w:themeColor="text1" w:themeTint="BF"/>
    </w:rPr>
  </w:style>
  <w:style w:type="character" w:customStyle="1" w:styleId="QuoteChar">
    <w:name w:val="Quote Char"/>
    <w:basedOn w:val="DefaultParagraphFont"/>
    <w:link w:val="Quote"/>
    <w:uiPriority w:val="29"/>
    <w:rsid w:val="00272ABA"/>
    <w:rPr>
      <w:i/>
      <w:iCs/>
      <w:color w:val="404040" w:themeColor="text1" w:themeTint="BF"/>
    </w:rPr>
  </w:style>
  <w:style w:type="paragraph" w:styleId="ListParagraph">
    <w:name w:val="List Paragraph"/>
    <w:basedOn w:val="Normal"/>
    <w:uiPriority w:val="34"/>
    <w:qFormat/>
    <w:rsid w:val="00272ABA"/>
    <w:pPr>
      <w:ind w:left="720"/>
      <w:contextualSpacing/>
    </w:pPr>
  </w:style>
  <w:style w:type="character" w:styleId="IntenseEmphasis">
    <w:name w:val="Intense Emphasis"/>
    <w:basedOn w:val="DefaultParagraphFont"/>
    <w:uiPriority w:val="21"/>
    <w:qFormat/>
    <w:rsid w:val="00272ABA"/>
    <w:rPr>
      <w:i/>
      <w:iCs/>
      <w:color w:val="0F4761" w:themeColor="accent1" w:themeShade="BF"/>
    </w:rPr>
  </w:style>
  <w:style w:type="paragraph" w:styleId="IntenseQuote">
    <w:name w:val="Intense Quote"/>
    <w:basedOn w:val="Normal"/>
    <w:next w:val="Normal"/>
    <w:link w:val="IntenseQuoteChar"/>
    <w:uiPriority w:val="30"/>
    <w:qFormat/>
    <w:rsid w:val="00272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ABA"/>
    <w:rPr>
      <w:i/>
      <w:iCs/>
      <w:color w:val="0F4761" w:themeColor="accent1" w:themeShade="BF"/>
    </w:rPr>
  </w:style>
  <w:style w:type="character" w:styleId="IntenseReference">
    <w:name w:val="Intense Reference"/>
    <w:basedOn w:val="DefaultParagraphFont"/>
    <w:uiPriority w:val="32"/>
    <w:qFormat/>
    <w:rsid w:val="00272ABA"/>
    <w:rPr>
      <w:b/>
      <w:bCs/>
      <w:smallCaps/>
      <w:color w:val="0F4761" w:themeColor="accent1" w:themeShade="BF"/>
      <w:spacing w:val="5"/>
    </w:rPr>
  </w:style>
  <w:style w:type="paragraph" w:styleId="Revision">
    <w:name w:val="Revision"/>
    <w:hidden/>
    <w:uiPriority w:val="99"/>
    <w:semiHidden/>
    <w:rsid w:val="00272A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1905</Words>
  <Characters>10863</Characters>
  <Application>Microsoft Office Word</Application>
  <DocSecurity>0</DocSecurity>
  <Lines>90</Lines>
  <Paragraphs>25</Paragraphs>
  <ScaleCrop>false</ScaleCrop>
  <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2</cp:revision>
  <dcterms:created xsi:type="dcterms:W3CDTF">2026-02-27T00:09:00Z</dcterms:created>
  <dcterms:modified xsi:type="dcterms:W3CDTF">2026-02-27T00:09:00Z</dcterms:modified>
</cp:coreProperties>
</file>