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09F0" w14:textId="77777777" w:rsidR="008A3D7B" w:rsidRPr="008A3D7B" w:rsidRDefault="008A3D7B" w:rsidP="008A3D7B">
      <w:pPr>
        <w:autoSpaceDE w:val="0"/>
        <w:autoSpaceDN w:val="0"/>
        <w:adjustRightInd w:val="0"/>
        <w:jc w:val="center"/>
        <w:outlineLvl w:val="1"/>
        <w:rPr>
          <w:rFonts w:eastAsia="Calibri" w:cs="Times New Roman"/>
          <w:b/>
          <w:bCs/>
          <w:szCs w:val="24"/>
        </w:rPr>
      </w:pPr>
      <w:bookmarkStart w:id="0" w:name="_Toc221525202"/>
      <w:r w:rsidRPr="008A3D7B">
        <w:rPr>
          <w:rFonts w:eastAsia="Calibri" w:cs="Times New Roman"/>
          <w:b/>
          <w:bCs/>
          <w:szCs w:val="24"/>
        </w:rPr>
        <w:t xml:space="preserve">9.38 Particular Rights—Fourteenth Amendment—Due </w:t>
      </w:r>
      <w:r w:rsidRPr="008A3D7B">
        <w:rPr>
          <w:rFonts w:eastAsia="Calibri" w:cs="Times New Roman"/>
          <w:b/>
          <w:bCs/>
          <w:szCs w:val="24"/>
        </w:rPr>
        <w:br/>
        <w:t>Process—Deliberate Fabrication of Evidence</w:t>
      </w:r>
      <w:bookmarkEnd w:id="0"/>
      <w:r w:rsidRPr="008A3D7B">
        <w:rPr>
          <w:rFonts w:eastAsia="Calibri" w:cs="Times New Roman"/>
          <w:b/>
          <w:bCs/>
          <w:szCs w:val="24"/>
        </w:rPr>
        <w:t xml:space="preserve">  </w:t>
      </w:r>
    </w:p>
    <w:p w14:paraId="2B6C2158" w14:textId="77777777" w:rsidR="008A3D7B" w:rsidRPr="008A3D7B" w:rsidRDefault="008A3D7B" w:rsidP="008A3D7B">
      <w:pPr>
        <w:autoSpaceDE w:val="0"/>
        <w:autoSpaceDN w:val="0"/>
        <w:adjustRightInd w:val="0"/>
        <w:jc w:val="center"/>
        <w:rPr>
          <w:rFonts w:eastAsia="Calibri" w:cs="Times New Roman"/>
          <w:szCs w:val="24"/>
        </w:rPr>
      </w:pPr>
    </w:p>
    <w:p w14:paraId="6E47E8AF"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As previously explained, the plaintiff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has the burden of proving that the [act[s]] [failure to act] of the defendant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deprived the plaintiff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 xml:space="preserve">of </w:t>
      </w:r>
      <w:proofErr w:type="gramStart"/>
      <w:r w:rsidRPr="008A3D7B">
        <w:rPr>
          <w:rFonts w:eastAsia="Calibri" w:cs="Times New Roman"/>
          <w:szCs w:val="24"/>
        </w:rPr>
        <w:t>particular rights</w:t>
      </w:r>
      <w:proofErr w:type="gramEnd"/>
      <w:r w:rsidRPr="008A3D7B">
        <w:rPr>
          <w:rFonts w:eastAsia="Calibri" w:cs="Times New Roman"/>
          <w:szCs w:val="24"/>
        </w:rPr>
        <w:t xml:space="preserve"> under the United States Constitution. The Fourteenth Amendment protects against being subjected to criminal charges </w:t>
      </w:r>
      <w:proofErr w:type="gramStart"/>
      <w:r w:rsidRPr="008A3D7B">
        <w:rPr>
          <w:rFonts w:eastAsia="Calibri" w:cs="Times New Roman"/>
          <w:szCs w:val="24"/>
        </w:rPr>
        <w:t>on the basis of</w:t>
      </w:r>
      <w:proofErr w:type="gramEnd"/>
      <w:r w:rsidRPr="008A3D7B">
        <w:rPr>
          <w:rFonts w:eastAsia="Calibri" w:cs="Times New Roman"/>
          <w:szCs w:val="24"/>
        </w:rPr>
        <w:t xml:space="preserve"> false evidence that was deliberately fabricated. In this case, the plaintiff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alleges the defendant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deprived [him] [her] [</w:t>
      </w:r>
      <w:r w:rsidRPr="008A3D7B">
        <w:rPr>
          <w:rFonts w:eastAsia="Calibri" w:cs="Times New Roman"/>
          <w:i/>
          <w:iCs/>
          <w:szCs w:val="24"/>
          <w:u w:val="single"/>
        </w:rPr>
        <w:t>other pronoun</w:t>
      </w:r>
      <w:r w:rsidRPr="008A3D7B">
        <w:rPr>
          <w:rFonts w:eastAsia="Calibri" w:cs="Times New Roman"/>
          <w:szCs w:val="24"/>
        </w:rPr>
        <w:t>] of [his] [her] [</w:t>
      </w:r>
      <w:r w:rsidRPr="008A3D7B">
        <w:rPr>
          <w:rFonts w:eastAsia="Calibri" w:cs="Times New Roman"/>
          <w:i/>
          <w:iCs/>
          <w:szCs w:val="24"/>
          <w:u w:val="single"/>
        </w:rPr>
        <w:t>other pronoun</w:t>
      </w:r>
      <w:r w:rsidRPr="008A3D7B">
        <w:rPr>
          <w:rFonts w:eastAsia="Calibri" w:cs="Times New Roman"/>
          <w:szCs w:val="24"/>
        </w:rPr>
        <w:t>] rights under the Fourteenth Amendment to the Constitution when [</w:t>
      </w:r>
      <w:r w:rsidRPr="008A3D7B">
        <w:rPr>
          <w:rFonts w:eastAsia="Calibri" w:cs="Times New Roman"/>
          <w:i/>
          <w:szCs w:val="24"/>
          <w:u w:val="single"/>
        </w:rPr>
        <w:t>insert factual basis of the plaintiff’s claim</w:t>
      </w:r>
      <w:r w:rsidRPr="008A3D7B">
        <w:rPr>
          <w:rFonts w:eastAsia="Calibri" w:cs="Times New Roman"/>
          <w:szCs w:val="24"/>
        </w:rPr>
        <w:t xml:space="preserve">].  </w:t>
      </w:r>
    </w:p>
    <w:p w14:paraId="57B678DC" w14:textId="77777777" w:rsidR="008A3D7B" w:rsidRPr="008A3D7B" w:rsidRDefault="008A3D7B" w:rsidP="008A3D7B">
      <w:pPr>
        <w:autoSpaceDE w:val="0"/>
        <w:autoSpaceDN w:val="0"/>
        <w:adjustRightInd w:val="0"/>
        <w:rPr>
          <w:rFonts w:eastAsia="Calibri" w:cs="Times New Roman"/>
          <w:szCs w:val="24"/>
        </w:rPr>
      </w:pPr>
    </w:p>
    <w:p w14:paraId="0E47705C"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For the plaintiff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to prevail on [his] [her] [</w:t>
      </w:r>
      <w:r w:rsidRPr="008A3D7B">
        <w:rPr>
          <w:rFonts w:eastAsia="Calibri" w:cs="Times New Roman"/>
          <w:i/>
          <w:iCs/>
          <w:szCs w:val="24"/>
          <w:u w:val="single"/>
        </w:rPr>
        <w:t>other pronoun</w:t>
      </w:r>
      <w:r w:rsidRPr="008A3D7B">
        <w:rPr>
          <w:rFonts w:eastAsia="Calibri" w:cs="Times New Roman"/>
          <w:szCs w:val="24"/>
        </w:rPr>
        <w:t>] claim of deliberate fabrication of evidence, the plaintiff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must prove [at least one of] the following element[s] by a preponderance of the evidence:</w:t>
      </w:r>
    </w:p>
    <w:p w14:paraId="65AE2421" w14:textId="77777777" w:rsidR="008A3D7B" w:rsidRPr="008A3D7B" w:rsidRDefault="008A3D7B" w:rsidP="008A3D7B">
      <w:pPr>
        <w:autoSpaceDE w:val="0"/>
        <w:autoSpaceDN w:val="0"/>
        <w:adjustRightInd w:val="0"/>
        <w:rPr>
          <w:rFonts w:eastAsia="Calibri" w:cs="Times New Roman"/>
          <w:szCs w:val="24"/>
        </w:rPr>
      </w:pPr>
    </w:p>
    <w:p w14:paraId="64ACF45B" w14:textId="77777777" w:rsidR="008A3D7B" w:rsidRPr="008A3D7B" w:rsidRDefault="008A3D7B" w:rsidP="008A3D7B">
      <w:pPr>
        <w:autoSpaceDE w:val="0"/>
        <w:autoSpaceDN w:val="0"/>
        <w:adjustRightInd w:val="0"/>
        <w:ind w:left="720"/>
        <w:rPr>
          <w:rFonts w:eastAsia="Calibri" w:cs="Times New Roman"/>
          <w:szCs w:val="24"/>
        </w:rPr>
      </w:pPr>
      <w:r w:rsidRPr="008A3D7B">
        <w:rPr>
          <w:rFonts w:eastAsia="Calibri" w:cs="Times New Roman"/>
          <w:szCs w:val="24"/>
        </w:rPr>
        <w:t>[The defendant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deliberately fabricated evidence that was used to [criminally charge] [prosecute] [convict] [</w:t>
      </w:r>
      <w:r w:rsidRPr="008A3D7B">
        <w:rPr>
          <w:rFonts w:eastAsia="Calibri" w:cs="Times New Roman"/>
          <w:i/>
          <w:szCs w:val="24"/>
          <w:u w:val="single"/>
        </w:rPr>
        <w:t>other deprivation of liberty</w:t>
      </w:r>
      <w:r w:rsidRPr="008A3D7B">
        <w:rPr>
          <w:rFonts w:eastAsia="Calibri" w:cs="Times New Roman"/>
          <w:szCs w:val="24"/>
        </w:rPr>
        <w:t>] the plaintiff [</w:t>
      </w:r>
      <w:r w:rsidRPr="008A3D7B">
        <w:rPr>
          <w:rFonts w:eastAsia="Calibri" w:cs="Times New Roman"/>
          <w:i/>
          <w:iCs/>
          <w:szCs w:val="24"/>
          <w:u w:val="single"/>
        </w:rPr>
        <w:t>name</w:t>
      </w:r>
      <w:r w:rsidRPr="008A3D7B">
        <w:rPr>
          <w:rFonts w:eastAsia="Calibri" w:cs="Times New Roman"/>
          <w:szCs w:val="24"/>
        </w:rPr>
        <w:t>].]</w:t>
      </w:r>
    </w:p>
    <w:p w14:paraId="5A273640" w14:textId="77777777" w:rsidR="008A3D7B" w:rsidRPr="008A3D7B" w:rsidRDefault="008A3D7B" w:rsidP="008A3D7B">
      <w:pPr>
        <w:autoSpaceDE w:val="0"/>
        <w:autoSpaceDN w:val="0"/>
        <w:adjustRightInd w:val="0"/>
        <w:ind w:right="720"/>
        <w:rPr>
          <w:rFonts w:eastAsia="Calibri" w:cs="Times New Roman"/>
          <w:szCs w:val="24"/>
        </w:rPr>
      </w:pPr>
    </w:p>
    <w:p w14:paraId="2D59245F" w14:textId="77777777" w:rsidR="008A3D7B" w:rsidRPr="008A3D7B" w:rsidRDefault="008A3D7B" w:rsidP="008A3D7B">
      <w:pPr>
        <w:autoSpaceDE w:val="0"/>
        <w:autoSpaceDN w:val="0"/>
        <w:adjustRightInd w:val="0"/>
        <w:jc w:val="center"/>
        <w:rPr>
          <w:rFonts w:eastAsia="Calibri" w:cs="Times New Roman"/>
          <w:szCs w:val="24"/>
        </w:rPr>
      </w:pPr>
      <w:r w:rsidRPr="008A3D7B">
        <w:rPr>
          <w:rFonts w:eastAsia="Calibri" w:cs="Times New Roman"/>
          <w:i/>
          <w:szCs w:val="24"/>
        </w:rPr>
        <w:t>or</w:t>
      </w:r>
    </w:p>
    <w:p w14:paraId="4FD5124C" w14:textId="77777777" w:rsidR="008A3D7B" w:rsidRPr="008A3D7B" w:rsidRDefault="008A3D7B" w:rsidP="008A3D7B">
      <w:pPr>
        <w:autoSpaceDE w:val="0"/>
        <w:autoSpaceDN w:val="0"/>
        <w:adjustRightInd w:val="0"/>
        <w:rPr>
          <w:rFonts w:eastAsia="Calibri" w:cs="Times New Roman"/>
          <w:szCs w:val="24"/>
        </w:rPr>
      </w:pPr>
    </w:p>
    <w:p w14:paraId="3C2BD9E2" w14:textId="77777777" w:rsidR="008A3D7B" w:rsidRPr="008A3D7B" w:rsidRDefault="008A3D7B" w:rsidP="008A3D7B">
      <w:pPr>
        <w:autoSpaceDE w:val="0"/>
        <w:autoSpaceDN w:val="0"/>
        <w:adjustRightInd w:val="0"/>
        <w:ind w:left="720"/>
        <w:rPr>
          <w:rFonts w:eastAsia="Calibri" w:cs="Times New Roman"/>
          <w:szCs w:val="24"/>
        </w:rPr>
      </w:pPr>
      <w:r w:rsidRPr="008A3D7B">
        <w:rPr>
          <w:rFonts w:eastAsia="Calibri" w:cs="Times New Roman"/>
          <w:szCs w:val="24"/>
        </w:rPr>
        <w:t>[The defendant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continued [his] [her] [</w:t>
      </w:r>
      <w:r w:rsidRPr="008A3D7B">
        <w:rPr>
          <w:rFonts w:eastAsia="Calibri" w:cs="Times New Roman"/>
          <w:i/>
          <w:iCs/>
          <w:szCs w:val="24"/>
          <w:u w:val="single"/>
        </w:rPr>
        <w:t>other pronoun</w:t>
      </w:r>
      <w:r w:rsidRPr="008A3D7B">
        <w:rPr>
          <w:rFonts w:eastAsia="Calibri" w:cs="Times New Roman"/>
          <w:szCs w:val="24"/>
        </w:rPr>
        <w:t>] investigation of the plaintiff [</w:t>
      </w:r>
      <w:r w:rsidRPr="008A3D7B">
        <w:rPr>
          <w:rFonts w:eastAsia="Calibri" w:cs="Times New Roman"/>
          <w:i/>
          <w:iCs/>
          <w:szCs w:val="24"/>
          <w:u w:val="single"/>
        </w:rPr>
        <w:t>name</w:t>
      </w:r>
      <w:r w:rsidRPr="008A3D7B">
        <w:rPr>
          <w:rFonts w:eastAsia="Calibri" w:cs="Times New Roman"/>
          <w:szCs w:val="24"/>
        </w:rPr>
        <w:t>] despite the fact that [he] [she] [</w:t>
      </w:r>
      <w:r w:rsidRPr="008A3D7B">
        <w:rPr>
          <w:rFonts w:eastAsia="Calibri" w:cs="Times New Roman"/>
          <w:i/>
          <w:iCs/>
          <w:szCs w:val="24"/>
          <w:u w:val="single"/>
        </w:rPr>
        <w:t>other pronoun</w:t>
      </w:r>
      <w:r w:rsidRPr="008A3D7B">
        <w:rPr>
          <w:rFonts w:eastAsia="Calibri" w:cs="Times New Roman"/>
          <w:szCs w:val="24"/>
        </w:rPr>
        <w:t>] knew that the plaintiff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was innocent, or was deliberately indifferent to the plaintiff [</w:t>
      </w:r>
      <w:r w:rsidRPr="008A3D7B">
        <w:rPr>
          <w:rFonts w:eastAsia="Calibri" w:cs="Times New Roman"/>
          <w:i/>
          <w:iCs/>
          <w:szCs w:val="24"/>
          <w:u w:val="single"/>
        </w:rPr>
        <w:t>name</w:t>
      </w:r>
      <w:r w:rsidRPr="008A3D7B">
        <w:rPr>
          <w:rFonts w:eastAsia="Calibri" w:cs="Times New Roman"/>
          <w:szCs w:val="24"/>
        </w:rPr>
        <w:t>]’s innocence, and the results of the investigation were used to [criminally charge] [prosecute] [convict] [</w:t>
      </w:r>
      <w:r w:rsidRPr="008A3D7B">
        <w:rPr>
          <w:rFonts w:eastAsia="Calibri" w:cs="Times New Roman"/>
          <w:i/>
          <w:szCs w:val="24"/>
          <w:u w:val="single"/>
        </w:rPr>
        <w:t>other deprivation of liberty</w:t>
      </w:r>
      <w:r w:rsidRPr="008A3D7B">
        <w:rPr>
          <w:rFonts w:eastAsia="Calibri" w:cs="Times New Roman"/>
          <w:szCs w:val="24"/>
        </w:rPr>
        <w:t>] the plaintiff [</w:t>
      </w:r>
      <w:r w:rsidRPr="008A3D7B">
        <w:rPr>
          <w:rFonts w:eastAsia="Calibri" w:cs="Times New Roman"/>
          <w:i/>
          <w:iCs/>
          <w:szCs w:val="24"/>
          <w:u w:val="single"/>
        </w:rPr>
        <w:t>name</w:t>
      </w:r>
      <w:r w:rsidRPr="008A3D7B">
        <w:rPr>
          <w:rFonts w:eastAsia="Calibri" w:cs="Times New Roman"/>
          <w:szCs w:val="24"/>
        </w:rPr>
        <w:t>].]</w:t>
      </w:r>
    </w:p>
    <w:p w14:paraId="795278A2" w14:textId="77777777" w:rsidR="008A3D7B" w:rsidRPr="008A3D7B" w:rsidRDefault="008A3D7B" w:rsidP="008A3D7B">
      <w:pPr>
        <w:autoSpaceDE w:val="0"/>
        <w:autoSpaceDN w:val="0"/>
        <w:adjustRightInd w:val="0"/>
        <w:rPr>
          <w:rFonts w:eastAsia="Calibri" w:cs="Times New Roman"/>
          <w:szCs w:val="24"/>
        </w:rPr>
      </w:pPr>
    </w:p>
    <w:p w14:paraId="6BEACE45" w14:textId="77777777" w:rsidR="008A3D7B" w:rsidRPr="008A3D7B" w:rsidRDefault="008A3D7B" w:rsidP="008A3D7B">
      <w:pPr>
        <w:autoSpaceDE w:val="0"/>
        <w:autoSpaceDN w:val="0"/>
        <w:adjustRightInd w:val="0"/>
        <w:jc w:val="center"/>
        <w:rPr>
          <w:rFonts w:eastAsia="Calibri" w:cs="Times New Roman"/>
          <w:szCs w:val="24"/>
        </w:rPr>
      </w:pPr>
      <w:r w:rsidRPr="008A3D7B">
        <w:rPr>
          <w:rFonts w:eastAsia="Calibri" w:cs="Times New Roman"/>
          <w:i/>
          <w:szCs w:val="24"/>
        </w:rPr>
        <w:t>or</w:t>
      </w:r>
    </w:p>
    <w:p w14:paraId="29F80ACE" w14:textId="77777777" w:rsidR="008A3D7B" w:rsidRPr="008A3D7B" w:rsidRDefault="008A3D7B" w:rsidP="008A3D7B">
      <w:pPr>
        <w:autoSpaceDE w:val="0"/>
        <w:autoSpaceDN w:val="0"/>
        <w:adjustRightInd w:val="0"/>
        <w:rPr>
          <w:rFonts w:eastAsia="Calibri" w:cs="Times New Roman"/>
          <w:szCs w:val="24"/>
        </w:rPr>
      </w:pPr>
    </w:p>
    <w:p w14:paraId="2BC33D4E" w14:textId="77777777" w:rsidR="008A3D7B" w:rsidRPr="008A3D7B" w:rsidRDefault="008A3D7B" w:rsidP="008A3D7B">
      <w:pPr>
        <w:autoSpaceDE w:val="0"/>
        <w:autoSpaceDN w:val="0"/>
        <w:adjustRightInd w:val="0"/>
        <w:ind w:left="720"/>
        <w:rPr>
          <w:rFonts w:eastAsia="Calibri" w:cs="Times New Roman"/>
          <w:szCs w:val="24"/>
        </w:rPr>
      </w:pPr>
      <w:r w:rsidRPr="008A3D7B">
        <w:rPr>
          <w:rFonts w:eastAsia="Calibri" w:cs="Times New Roman"/>
          <w:szCs w:val="24"/>
        </w:rPr>
        <w:t>[The defendant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used techniques that were so coercive and abusive that [he] [she] [</w:t>
      </w:r>
      <w:r w:rsidRPr="008A3D7B">
        <w:rPr>
          <w:rFonts w:eastAsia="Calibri" w:cs="Times New Roman"/>
          <w:i/>
          <w:iCs/>
          <w:szCs w:val="24"/>
          <w:u w:val="single"/>
        </w:rPr>
        <w:t>other pronoun</w:t>
      </w:r>
      <w:r w:rsidRPr="008A3D7B">
        <w:rPr>
          <w:rFonts w:eastAsia="Calibri" w:cs="Times New Roman"/>
          <w:szCs w:val="24"/>
        </w:rPr>
        <w:t>] knew, or was deliberately indifferent, that those techniques would yield false information that was used to [criminally charge] [prosecute] [convict] [</w:t>
      </w:r>
      <w:r w:rsidRPr="008A3D7B">
        <w:rPr>
          <w:rFonts w:eastAsia="Calibri" w:cs="Times New Roman"/>
          <w:i/>
          <w:szCs w:val="24"/>
          <w:u w:val="single"/>
        </w:rPr>
        <w:t>other deprivation of liberty</w:t>
      </w:r>
      <w:r w:rsidRPr="008A3D7B">
        <w:rPr>
          <w:rFonts w:eastAsia="Calibri" w:cs="Times New Roman"/>
          <w:szCs w:val="24"/>
        </w:rPr>
        <w:t>] the plaintiff [</w:t>
      </w:r>
      <w:r w:rsidRPr="008A3D7B">
        <w:rPr>
          <w:rFonts w:eastAsia="Calibri" w:cs="Times New Roman"/>
          <w:i/>
          <w:iCs/>
          <w:szCs w:val="24"/>
          <w:u w:val="single"/>
        </w:rPr>
        <w:t>name</w:t>
      </w:r>
      <w:r w:rsidRPr="008A3D7B">
        <w:rPr>
          <w:rFonts w:eastAsia="Calibri" w:cs="Times New Roman"/>
          <w:szCs w:val="24"/>
        </w:rPr>
        <w:t>].</w:t>
      </w:r>
    </w:p>
    <w:p w14:paraId="7C13A336" w14:textId="77777777" w:rsidR="008A3D7B" w:rsidRPr="008A3D7B" w:rsidRDefault="008A3D7B" w:rsidP="008A3D7B">
      <w:pPr>
        <w:autoSpaceDE w:val="0"/>
        <w:autoSpaceDN w:val="0"/>
        <w:adjustRightInd w:val="0"/>
        <w:rPr>
          <w:rFonts w:eastAsia="Calibri" w:cs="Times New Roman"/>
          <w:szCs w:val="24"/>
        </w:rPr>
      </w:pPr>
    </w:p>
    <w:p w14:paraId="18695292"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 xml:space="preserve">“Deliberate indifference” is the conscious or reckless disregard of the consequences of one’s acts or omissions. </w:t>
      </w:r>
    </w:p>
    <w:p w14:paraId="1B915992" w14:textId="77777777" w:rsidR="008A3D7B" w:rsidRPr="008A3D7B" w:rsidRDefault="008A3D7B" w:rsidP="008A3D7B">
      <w:pPr>
        <w:autoSpaceDE w:val="0"/>
        <w:autoSpaceDN w:val="0"/>
        <w:adjustRightInd w:val="0"/>
        <w:rPr>
          <w:rFonts w:eastAsia="Calibri" w:cs="Times New Roman"/>
          <w:szCs w:val="24"/>
        </w:rPr>
      </w:pPr>
    </w:p>
    <w:p w14:paraId="32260829"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[If the plaintiff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proves that the defendant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deliberately fabricated evidence that was used to [criminally charge] [prosecute] [convict] [</w:t>
      </w:r>
      <w:r w:rsidRPr="008A3D7B">
        <w:rPr>
          <w:rFonts w:eastAsia="Calibri" w:cs="Times New Roman"/>
          <w:i/>
          <w:szCs w:val="24"/>
          <w:u w:val="single"/>
        </w:rPr>
        <w:t>other deprivation of liberty</w:t>
      </w:r>
      <w:r w:rsidRPr="008A3D7B">
        <w:rPr>
          <w:rFonts w:eastAsia="Calibri" w:cs="Times New Roman"/>
          <w:szCs w:val="24"/>
        </w:rPr>
        <w:t>] the plaintiff [</w:t>
      </w:r>
      <w:r w:rsidRPr="008A3D7B">
        <w:rPr>
          <w:rFonts w:eastAsia="Calibri" w:cs="Times New Roman"/>
          <w:i/>
          <w:iCs/>
          <w:szCs w:val="24"/>
          <w:u w:val="single"/>
        </w:rPr>
        <w:t>name</w:t>
      </w:r>
      <w:r w:rsidRPr="008A3D7B">
        <w:rPr>
          <w:rFonts w:eastAsia="Calibri" w:cs="Times New Roman"/>
          <w:szCs w:val="24"/>
        </w:rPr>
        <w:t>], then the plaintiff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is not required to prove that the defendant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knew the plaintiff [</w:t>
      </w:r>
      <w:r w:rsidRPr="008A3D7B">
        <w:rPr>
          <w:rFonts w:eastAsia="Calibri" w:cs="Times New Roman"/>
          <w:i/>
          <w:iCs/>
          <w:szCs w:val="24"/>
          <w:u w:val="single"/>
        </w:rPr>
        <w:t>name</w:t>
      </w:r>
      <w:r w:rsidRPr="008A3D7B">
        <w:rPr>
          <w:rFonts w:eastAsia="Calibri" w:cs="Times New Roman"/>
          <w:szCs w:val="24"/>
        </w:rPr>
        <w:t>]</w:t>
      </w:r>
      <w:r w:rsidRPr="008A3D7B">
        <w:rPr>
          <w:rFonts w:eastAsia="Calibri" w:cs="Times New Roman"/>
        </w:rPr>
        <w:t xml:space="preserve"> </w:t>
      </w:r>
      <w:r w:rsidRPr="008A3D7B">
        <w:rPr>
          <w:rFonts w:eastAsia="Calibri" w:cs="Times New Roman"/>
          <w:szCs w:val="24"/>
        </w:rPr>
        <w:t>was innocent or was deliberately indifferent to the plaintiff [</w:t>
      </w:r>
      <w:r w:rsidRPr="008A3D7B">
        <w:rPr>
          <w:rFonts w:eastAsia="Calibri" w:cs="Times New Roman"/>
          <w:i/>
          <w:iCs/>
          <w:szCs w:val="24"/>
          <w:u w:val="single"/>
        </w:rPr>
        <w:t>name</w:t>
      </w:r>
      <w:r w:rsidRPr="008A3D7B">
        <w:rPr>
          <w:rFonts w:eastAsia="Calibri" w:cs="Times New Roman"/>
          <w:szCs w:val="24"/>
        </w:rPr>
        <w:t>]’s innocence.]</w:t>
      </w:r>
    </w:p>
    <w:p w14:paraId="7813E9BA" w14:textId="77777777" w:rsidR="008A3D7B" w:rsidRPr="008A3D7B" w:rsidRDefault="008A3D7B" w:rsidP="008A3D7B">
      <w:pPr>
        <w:autoSpaceDE w:val="0"/>
        <w:autoSpaceDN w:val="0"/>
        <w:adjustRightInd w:val="0"/>
        <w:rPr>
          <w:rFonts w:eastAsia="Calibri" w:cs="Times New Roman"/>
          <w:szCs w:val="24"/>
        </w:rPr>
      </w:pPr>
    </w:p>
    <w:p w14:paraId="2EFA86CC" w14:textId="77777777" w:rsidR="008A3D7B" w:rsidRPr="008A3D7B" w:rsidRDefault="008A3D7B" w:rsidP="008A3D7B">
      <w:pPr>
        <w:autoSpaceDE w:val="0"/>
        <w:autoSpaceDN w:val="0"/>
        <w:adjustRightInd w:val="0"/>
        <w:jc w:val="center"/>
        <w:rPr>
          <w:rFonts w:eastAsia="Calibri" w:cs="Times New Roman"/>
          <w:szCs w:val="24"/>
        </w:rPr>
      </w:pPr>
      <w:r w:rsidRPr="008A3D7B">
        <w:rPr>
          <w:rFonts w:eastAsia="Calibri" w:cs="Times New Roman"/>
          <w:b/>
          <w:szCs w:val="24"/>
        </w:rPr>
        <w:t>Comment</w:t>
      </w:r>
    </w:p>
    <w:p w14:paraId="5C120E42" w14:textId="77777777" w:rsidR="008A3D7B" w:rsidRPr="008A3D7B" w:rsidRDefault="008A3D7B" w:rsidP="008A3D7B">
      <w:pPr>
        <w:autoSpaceDE w:val="0"/>
        <w:autoSpaceDN w:val="0"/>
        <w:adjustRightInd w:val="0"/>
        <w:rPr>
          <w:rFonts w:eastAsia="Calibri" w:cs="Times New Roman"/>
          <w:szCs w:val="24"/>
        </w:rPr>
      </w:pPr>
    </w:p>
    <w:p w14:paraId="3BB9E520"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 xml:space="preserve">Use this instruction only in conjunction with the applicable </w:t>
      </w:r>
      <w:proofErr w:type="gramStart"/>
      <w:r w:rsidRPr="008A3D7B">
        <w:rPr>
          <w:rFonts w:eastAsia="Calibri" w:cs="Times New Roman"/>
          <w:szCs w:val="24"/>
        </w:rPr>
        <w:t>elements</w:t>
      </w:r>
      <w:proofErr w:type="gramEnd"/>
      <w:r w:rsidRPr="008A3D7B">
        <w:rPr>
          <w:rFonts w:eastAsia="Calibri" w:cs="Times New Roman"/>
          <w:szCs w:val="24"/>
        </w:rPr>
        <w:t xml:space="preserve"> instructions, Instructions 9.3-9.8. </w:t>
      </w:r>
    </w:p>
    <w:p w14:paraId="6597CCB9" w14:textId="77777777" w:rsidR="008A3D7B" w:rsidRPr="008A3D7B" w:rsidRDefault="008A3D7B" w:rsidP="008A3D7B">
      <w:pPr>
        <w:autoSpaceDE w:val="0"/>
        <w:autoSpaceDN w:val="0"/>
        <w:adjustRightInd w:val="0"/>
        <w:rPr>
          <w:rFonts w:eastAsia="Calibri" w:cs="Times New Roman"/>
          <w:szCs w:val="24"/>
        </w:rPr>
      </w:pPr>
    </w:p>
    <w:p w14:paraId="0B95B5B8" w14:textId="77777777" w:rsidR="008A3D7B" w:rsidRPr="008A3D7B" w:rsidRDefault="008A3D7B" w:rsidP="008A3D7B">
      <w:pPr>
        <w:shd w:val="clear" w:color="auto" w:fill="FFFFFF"/>
        <w:ind w:firstLine="720"/>
        <w:rPr>
          <w:rFonts w:eastAsia="Times New Roman" w:cs="Times New Roman"/>
          <w:szCs w:val="24"/>
        </w:rPr>
      </w:pPr>
      <w:r w:rsidRPr="008A3D7B">
        <w:rPr>
          <w:rFonts w:eastAsia="Calibri" w:cs="Times New Roman"/>
          <w:szCs w:val="24"/>
        </w:rPr>
        <w:t xml:space="preserve">In a multi-plaintiff or multi-defendant case, the trial judge should consider naming </w:t>
      </w:r>
      <w:proofErr w:type="gramStart"/>
      <w:r w:rsidRPr="008A3D7B">
        <w:rPr>
          <w:rFonts w:eastAsia="Calibri" w:cs="Times New Roman"/>
          <w:szCs w:val="24"/>
        </w:rPr>
        <w:t>each individual</w:t>
      </w:r>
      <w:proofErr w:type="gramEnd"/>
      <w:r w:rsidRPr="008A3D7B">
        <w:rPr>
          <w:rFonts w:eastAsia="Calibri" w:cs="Times New Roman"/>
          <w:szCs w:val="24"/>
        </w:rPr>
        <w:t xml:space="preserve"> specifically in lieu of using the generic term “officers” or “defendants.” In </w:t>
      </w:r>
      <w:proofErr w:type="spellStart"/>
      <w:r w:rsidRPr="008A3D7B">
        <w:rPr>
          <w:rFonts w:eastAsia="Calibri" w:cs="Times New Roman"/>
          <w:i/>
          <w:iCs/>
          <w:szCs w:val="24"/>
        </w:rPr>
        <w:t>Chinaryan</w:t>
      </w:r>
      <w:proofErr w:type="spellEnd"/>
      <w:r w:rsidRPr="008A3D7B">
        <w:rPr>
          <w:rFonts w:eastAsia="Calibri" w:cs="Times New Roman"/>
          <w:szCs w:val="24"/>
        </w:rPr>
        <w:t xml:space="preserve">, the Ninth Circuit explained that the jury instructions were “confusing” where </w:t>
      </w:r>
      <w:r w:rsidRPr="008A3D7B">
        <w:rPr>
          <w:rFonts w:eastAsia="Times New Roman" w:cs="Times New Roman"/>
          <w:szCs w:val="24"/>
        </w:rPr>
        <w:t>the instructions stated that “to establish an unreasonable seizure in this case, the plaintiffs must prove by a preponderance of the evidence that the officer</w:t>
      </w:r>
      <w:r w:rsidRPr="008A3D7B">
        <w:rPr>
          <w:rFonts w:eastAsia="Times New Roman" w:cs="Times New Roman"/>
          <w:b/>
          <w:bCs/>
          <w:i/>
          <w:iCs/>
          <w:szCs w:val="24"/>
          <w:u w:val="single"/>
          <w:bdr w:val="none" w:sz="0" w:space="0" w:color="auto" w:frame="1"/>
        </w:rPr>
        <w:t>s</w:t>
      </w:r>
      <w:r w:rsidRPr="008A3D7B">
        <w:rPr>
          <w:rFonts w:eastAsia="Times New Roman" w:cs="Times New Roman"/>
          <w:szCs w:val="24"/>
        </w:rPr>
        <w:t>”—plural</w:t>
      </w:r>
      <w:proofErr w:type="gramStart"/>
      <w:r w:rsidRPr="008A3D7B">
        <w:rPr>
          <w:rFonts w:eastAsia="Times New Roman" w:cs="Times New Roman"/>
          <w:szCs w:val="24"/>
        </w:rPr>
        <w:t>—“</w:t>
      </w:r>
      <w:proofErr w:type="gramEnd"/>
      <w:r w:rsidRPr="008A3D7B">
        <w:rPr>
          <w:rFonts w:eastAsia="Times New Roman" w:cs="Times New Roman"/>
          <w:szCs w:val="24"/>
        </w:rPr>
        <w:t xml:space="preserve">used excessive force.” </w:t>
      </w:r>
      <w:proofErr w:type="spellStart"/>
      <w:r w:rsidRPr="008A3D7B">
        <w:rPr>
          <w:rFonts w:eastAsia="Times New Roman" w:cs="Times New Roman"/>
          <w:i/>
          <w:iCs/>
          <w:szCs w:val="24"/>
          <w:bdr w:val="none" w:sz="0" w:space="0" w:color="auto" w:frame="1"/>
        </w:rPr>
        <w:t>Chinaryan</w:t>
      </w:r>
      <w:proofErr w:type="spellEnd"/>
      <w:r w:rsidRPr="008A3D7B">
        <w:rPr>
          <w:rFonts w:eastAsia="Times New Roman" w:cs="Times New Roman"/>
          <w:i/>
          <w:iCs/>
          <w:szCs w:val="24"/>
          <w:bdr w:val="none" w:sz="0" w:space="0" w:color="auto" w:frame="1"/>
        </w:rPr>
        <w:t xml:space="preserve"> v. City of Los Angeles</w:t>
      </w:r>
      <w:r w:rsidRPr="008A3D7B">
        <w:rPr>
          <w:rFonts w:eastAsia="Times New Roman" w:cs="Times New Roman"/>
          <w:szCs w:val="24"/>
        </w:rPr>
        <w:t>, 113 F.4th 888, 905 (9th Cir. 2024) (emphasis in original). The “officer</w:t>
      </w:r>
      <w:r w:rsidRPr="008A3D7B">
        <w:rPr>
          <w:rFonts w:eastAsia="Times New Roman" w:cs="Times New Roman"/>
          <w:b/>
          <w:bCs/>
          <w:i/>
          <w:iCs/>
          <w:szCs w:val="24"/>
          <w:u w:val="single"/>
        </w:rPr>
        <w:t>s</w:t>
      </w:r>
      <w:r w:rsidRPr="008A3D7B">
        <w:rPr>
          <w:rFonts w:eastAsia="Times New Roman" w:cs="Times New Roman"/>
          <w:szCs w:val="24"/>
        </w:rPr>
        <w:t>”</w:t>
      </w:r>
      <w:r w:rsidRPr="008A3D7B">
        <w:rPr>
          <w:rFonts w:eastAsia="Times New Roman" w:cs="Times New Roman"/>
          <w:b/>
          <w:bCs/>
          <w:szCs w:val="24"/>
        </w:rPr>
        <w:t xml:space="preserve"> </w:t>
      </w:r>
      <w:r w:rsidRPr="008A3D7B">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A3D7B">
        <w:rPr>
          <w:rFonts w:eastAsia="Times New Roman" w:cs="Times New Roman"/>
          <w:i/>
          <w:iCs/>
          <w:szCs w:val="24"/>
        </w:rPr>
        <w:t>Id.</w:t>
      </w:r>
      <w:r w:rsidRPr="008A3D7B">
        <w:rPr>
          <w:rFonts w:eastAsia="Times New Roman" w:cs="Times New Roman"/>
          <w:szCs w:val="24"/>
        </w:rPr>
        <w:t xml:space="preserve"> </w:t>
      </w:r>
      <w:proofErr w:type="gramStart"/>
      <w:r w:rsidRPr="008A3D7B">
        <w:rPr>
          <w:rFonts w:eastAsia="Times New Roman" w:cs="Times New Roman"/>
          <w:szCs w:val="24"/>
        </w:rPr>
        <w:t>In light of</w:t>
      </w:r>
      <w:proofErr w:type="gramEnd"/>
      <w:r w:rsidRPr="008A3D7B">
        <w:rPr>
          <w:rFonts w:eastAsia="Times New Roman" w:cs="Times New Roman"/>
          <w:szCs w:val="24"/>
        </w:rPr>
        <w:t xml:space="preserve"> </w:t>
      </w:r>
      <w:proofErr w:type="spellStart"/>
      <w:r w:rsidRPr="008A3D7B">
        <w:rPr>
          <w:rFonts w:eastAsia="Times New Roman" w:cs="Times New Roman"/>
          <w:i/>
          <w:iCs/>
          <w:szCs w:val="24"/>
          <w:bdr w:val="none" w:sz="0" w:space="0" w:color="auto" w:frame="1"/>
        </w:rPr>
        <w:t>Chinaryan</w:t>
      </w:r>
      <w:proofErr w:type="spellEnd"/>
      <w:r w:rsidRPr="008A3D7B">
        <w:rPr>
          <w:rFonts w:eastAsia="Times New Roman" w:cs="Times New Roman"/>
          <w:szCs w:val="24"/>
        </w:rPr>
        <w:t>, the trial judge may consider using a special verdict to identify the specific findings as to each plaintiff and defendant.</w:t>
      </w:r>
    </w:p>
    <w:p w14:paraId="09690586"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r>
    </w:p>
    <w:p w14:paraId="1D05A991"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 xml:space="preserve">“[T]here is a clearly established constitutional due process right not to be subjected to criminal charges on the basis of false evidence that was deliberately fabricated by the government.” </w:t>
      </w:r>
      <w:r w:rsidRPr="008A3D7B">
        <w:rPr>
          <w:rFonts w:eastAsia="Calibri" w:cs="Times New Roman"/>
          <w:i/>
          <w:szCs w:val="24"/>
        </w:rPr>
        <w:t>Devereaux v. Abbey</w:t>
      </w:r>
      <w:r w:rsidRPr="008A3D7B">
        <w:rPr>
          <w:rFonts w:eastAsia="Calibri" w:cs="Times New Roman"/>
          <w:szCs w:val="24"/>
        </w:rPr>
        <w:t>, 263 F.3d 1070, 1074-75 (9th Cir. 2001) (</w:t>
      </w:r>
      <w:proofErr w:type="spellStart"/>
      <w:r w:rsidRPr="008A3D7B">
        <w:rPr>
          <w:rFonts w:eastAsia="Calibri" w:cs="Times New Roman"/>
          <w:szCs w:val="24"/>
        </w:rPr>
        <w:t>en</w:t>
      </w:r>
      <w:proofErr w:type="spellEnd"/>
      <w:r w:rsidRPr="008A3D7B">
        <w:rPr>
          <w:rFonts w:eastAsia="Calibri" w:cs="Times New Roman"/>
          <w:szCs w:val="24"/>
        </w:rPr>
        <w:t xml:space="preserve"> banc). The deliberate fabrication of evidence implicates “the fundamental due process right to a fair trial.” </w:t>
      </w:r>
      <w:r w:rsidRPr="008A3D7B">
        <w:rPr>
          <w:rFonts w:eastAsia="Calibri" w:cs="Times New Roman"/>
          <w:i/>
          <w:szCs w:val="24"/>
        </w:rPr>
        <w:t>Richards v. County of San Bernadino</w:t>
      </w:r>
      <w:r w:rsidRPr="008A3D7B">
        <w:rPr>
          <w:rFonts w:eastAsia="Calibri" w:cs="Times New Roman"/>
          <w:szCs w:val="24"/>
        </w:rPr>
        <w:t xml:space="preserve">, 39 F.4th 562, 572 (9th Cir. 2022). This is true “regardless of the plaintiff’s innocence or guilt . . . the right to a fair trial is impinged either way.” </w:t>
      </w:r>
      <w:r w:rsidRPr="008A3D7B">
        <w:rPr>
          <w:rFonts w:eastAsia="Calibri" w:cs="Times New Roman"/>
          <w:i/>
          <w:szCs w:val="24"/>
        </w:rPr>
        <w:t xml:space="preserve">Id. </w:t>
      </w:r>
      <w:r w:rsidRPr="008A3D7B">
        <w:rPr>
          <w:rFonts w:eastAsia="Calibri" w:cs="Times New Roman"/>
          <w:szCs w:val="24"/>
        </w:rPr>
        <w:t xml:space="preserve">In </w:t>
      </w:r>
      <w:r w:rsidRPr="008A3D7B">
        <w:rPr>
          <w:rFonts w:eastAsia="Calibri" w:cs="Times New Roman"/>
          <w:i/>
          <w:szCs w:val="24"/>
        </w:rPr>
        <w:t>Devereaux</w:t>
      </w:r>
      <w:r w:rsidRPr="008A3D7B">
        <w:rPr>
          <w:rFonts w:eastAsia="Calibri" w:cs="Times New Roman"/>
          <w:szCs w:val="24"/>
        </w:rPr>
        <w:t>, the Ninth Circuit stated that to establish deliberate fabrication of evidence, a plaintiff:</w:t>
      </w:r>
    </w:p>
    <w:p w14:paraId="7D46E8E1" w14:textId="77777777" w:rsidR="008A3D7B" w:rsidRPr="008A3D7B" w:rsidRDefault="008A3D7B" w:rsidP="008A3D7B">
      <w:pPr>
        <w:autoSpaceDE w:val="0"/>
        <w:autoSpaceDN w:val="0"/>
        <w:adjustRightInd w:val="0"/>
        <w:rPr>
          <w:rFonts w:eastAsia="Calibri" w:cs="Times New Roman"/>
          <w:szCs w:val="24"/>
        </w:rPr>
      </w:pPr>
    </w:p>
    <w:p w14:paraId="2460EB56" w14:textId="77777777" w:rsidR="008A3D7B" w:rsidRPr="008A3D7B" w:rsidRDefault="008A3D7B" w:rsidP="008A3D7B">
      <w:pPr>
        <w:autoSpaceDE w:val="0"/>
        <w:autoSpaceDN w:val="0"/>
        <w:adjustRightInd w:val="0"/>
        <w:ind w:left="720" w:right="720"/>
        <w:jc w:val="both"/>
        <w:rPr>
          <w:rFonts w:eastAsia="Calibri" w:cs="Times New Roman"/>
          <w:szCs w:val="24"/>
        </w:rPr>
      </w:pPr>
      <w:r w:rsidRPr="008A3D7B">
        <w:rPr>
          <w:rFonts w:eastAsia="Calibri" w:cs="Times New Roman"/>
          <w:szCs w:val="24"/>
        </w:rPr>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353115CA" w14:textId="77777777" w:rsidR="008A3D7B" w:rsidRPr="008A3D7B" w:rsidRDefault="008A3D7B" w:rsidP="008A3D7B">
      <w:pPr>
        <w:autoSpaceDE w:val="0"/>
        <w:autoSpaceDN w:val="0"/>
        <w:adjustRightInd w:val="0"/>
        <w:rPr>
          <w:rFonts w:eastAsia="Calibri" w:cs="Times New Roman"/>
          <w:szCs w:val="24"/>
        </w:rPr>
      </w:pPr>
    </w:p>
    <w:p w14:paraId="371DAE2A"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 xml:space="preserve">263 F.3d at 1076. Stated another way, “[t]o </w:t>
      </w:r>
      <w:proofErr w:type="gramStart"/>
      <w:r w:rsidRPr="008A3D7B">
        <w:rPr>
          <w:rFonts w:eastAsia="Calibri" w:cs="Times New Roman"/>
          <w:szCs w:val="24"/>
        </w:rPr>
        <w:t>prevail</w:t>
      </w:r>
      <w:proofErr w:type="gramEnd"/>
      <w:r w:rsidRPr="008A3D7B">
        <w:rPr>
          <w:rFonts w:eastAsia="Calibri" w:cs="Times New Roman"/>
          <w:szCs w:val="24"/>
        </w:rPr>
        <w:t xml:space="preserve"> on a § 1983 claim of deliberate fabrication, a plaintiff must prove that (1) the defendant official deliberately fabricated evidence and (2) the deliberate fabrication caused the plaintiff's deprivation of liberty.” </w:t>
      </w:r>
      <w:r w:rsidRPr="008A3D7B">
        <w:rPr>
          <w:rFonts w:eastAsia="Calibri" w:cs="Times New Roman"/>
          <w:i/>
          <w:szCs w:val="24"/>
        </w:rPr>
        <w:t>Spencer v. Peters</w:t>
      </w:r>
      <w:r w:rsidRPr="008A3D7B">
        <w:rPr>
          <w:rFonts w:eastAsia="Calibri" w:cs="Times New Roman"/>
          <w:szCs w:val="24"/>
        </w:rPr>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8A3D7B">
        <w:rPr>
          <w:rFonts w:eastAsia="Calibri" w:cs="Times New Roman"/>
          <w:i/>
          <w:szCs w:val="24"/>
        </w:rPr>
        <w:t>Spencer</w:t>
      </w:r>
      <w:r w:rsidRPr="008A3D7B">
        <w:rPr>
          <w:rFonts w:eastAsia="Calibri" w:cs="Times New Roman"/>
          <w:szCs w:val="24"/>
        </w:rPr>
        <w:t xml:space="preserve">, 857 F.3d at 798 (citations omitted). In </w:t>
      </w:r>
      <w:r w:rsidRPr="008A3D7B">
        <w:rPr>
          <w:rFonts w:eastAsia="Calibri" w:cs="Times New Roman"/>
          <w:i/>
          <w:szCs w:val="24"/>
        </w:rPr>
        <w:t>Richards</w:t>
      </w:r>
      <w:r w:rsidRPr="008A3D7B">
        <w:rPr>
          <w:rFonts w:eastAsia="Calibri" w:cs="Times New Roman"/>
          <w:szCs w:val="24"/>
        </w:rPr>
        <w:t xml:space="preserve">, the court said that rather than a </w:t>
      </w:r>
      <w:proofErr w:type="spellStart"/>
      <w:r w:rsidRPr="008A3D7B">
        <w:rPr>
          <w:rFonts w:eastAsia="Calibri" w:cs="Times New Roman"/>
          <w:szCs w:val="24"/>
        </w:rPr>
        <w:t>but</w:t>
      </w:r>
      <w:proofErr w:type="spellEnd"/>
      <w:r w:rsidRPr="008A3D7B">
        <w:rPr>
          <w:rFonts w:eastAsia="Calibri" w:cs="Times New Roman"/>
          <w:szCs w:val="24"/>
        </w:rPr>
        <w:t xml:space="preserve">-for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8A3D7B">
        <w:rPr>
          <w:rFonts w:eastAsia="Calibri" w:cs="Times New Roman"/>
          <w:i/>
          <w:szCs w:val="24"/>
        </w:rPr>
        <w:t>Richards</w:t>
      </w:r>
      <w:r w:rsidRPr="008A3D7B">
        <w:rPr>
          <w:rFonts w:eastAsia="Calibri" w:cs="Times New Roman"/>
          <w:szCs w:val="24"/>
        </w:rPr>
        <w:t>, 39 F.4th</w:t>
      </w:r>
      <w:r w:rsidRPr="008A3D7B">
        <w:rPr>
          <w:rFonts w:eastAsia="Calibri" w:cs="Times New Roman"/>
          <w:i/>
          <w:szCs w:val="24"/>
        </w:rPr>
        <w:t xml:space="preserve"> </w:t>
      </w:r>
      <w:r w:rsidRPr="008A3D7B">
        <w:rPr>
          <w:rFonts w:eastAsia="Calibri" w:cs="Times New Roman"/>
          <w:szCs w:val="24"/>
        </w:rPr>
        <w:t>at 573-74; s</w:t>
      </w:r>
      <w:r w:rsidRPr="008A3D7B">
        <w:rPr>
          <w:rFonts w:eastAsia="Calibri" w:cs="Times New Roman"/>
          <w:i/>
          <w:szCs w:val="24"/>
        </w:rPr>
        <w:t xml:space="preserve">ee Caldwell v. City &amp; County of San Francisco, </w:t>
      </w:r>
      <w:r w:rsidRPr="008A3D7B">
        <w:rPr>
          <w:rFonts w:eastAsia="Calibri" w:cs="Times New Roman"/>
          <w:szCs w:val="24"/>
        </w:rPr>
        <w:t>889 F.3d 1105, 1115 (9th Cir. 2018) (“[P]</w:t>
      </w:r>
      <w:proofErr w:type="spellStart"/>
      <w:r w:rsidRPr="008A3D7B">
        <w:rPr>
          <w:rFonts w:eastAsia="Calibri" w:cs="Times New Roman"/>
          <w:szCs w:val="24"/>
        </w:rPr>
        <w:t>laintiff</w:t>
      </w:r>
      <w:proofErr w:type="spellEnd"/>
      <w:r w:rsidRPr="008A3D7B">
        <w:rPr>
          <w:rFonts w:eastAsia="Calibri" w:cs="Times New Roman"/>
          <w:szCs w:val="24"/>
        </w:rPr>
        <w:t xml:space="preserve"> need not be convicted on the basis of the fabricated evidence to have suffered a deprivation of liberty—being criminally charged is enough.”).</w:t>
      </w:r>
    </w:p>
    <w:p w14:paraId="08AF5B8D" w14:textId="77777777" w:rsidR="008A3D7B" w:rsidRPr="008A3D7B" w:rsidRDefault="008A3D7B" w:rsidP="008A3D7B">
      <w:pPr>
        <w:autoSpaceDE w:val="0"/>
        <w:autoSpaceDN w:val="0"/>
        <w:adjustRightInd w:val="0"/>
        <w:rPr>
          <w:rFonts w:eastAsia="Calibri" w:cs="Times New Roman"/>
          <w:szCs w:val="24"/>
        </w:rPr>
      </w:pPr>
    </w:p>
    <w:p w14:paraId="4A57DEFA"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 xml:space="preserve">Inaccuracies in an investigative report do not all give rise to a constitutional claim. “Mere carelessness is insufficient, as are mistakes of tone. Errors concerning trivial matters cannot </w:t>
      </w:r>
      <w:r w:rsidRPr="008A3D7B">
        <w:rPr>
          <w:rFonts w:eastAsia="Calibri" w:cs="Times New Roman"/>
          <w:szCs w:val="24"/>
        </w:rPr>
        <w:lastRenderedPageBreak/>
        <w:t xml:space="preserve">establish causation, a necessary element of any § 1983 claim. And fabricated evidence does not give rise to a claim if the plaintiff cannot show the fabrication </w:t>
      </w:r>
      <w:proofErr w:type="gramStart"/>
      <w:r w:rsidRPr="008A3D7B">
        <w:rPr>
          <w:rFonts w:eastAsia="Calibri" w:cs="Times New Roman"/>
          <w:szCs w:val="24"/>
        </w:rPr>
        <w:t>actually injured</w:t>
      </w:r>
      <w:proofErr w:type="gramEnd"/>
      <w:r w:rsidRPr="008A3D7B">
        <w:rPr>
          <w:rFonts w:eastAsia="Calibri" w:cs="Times New Roman"/>
          <w:szCs w:val="24"/>
        </w:rPr>
        <w:t xml:space="preserve"> her in some way.” </w:t>
      </w:r>
      <w:r w:rsidRPr="008A3D7B">
        <w:rPr>
          <w:rFonts w:eastAsia="Calibri" w:cs="Times New Roman"/>
          <w:i/>
          <w:szCs w:val="24"/>
        </w:rPr>
        <w:t>Spencer</w:t>
      </w:r>
      <w:r w:rsidRPr="008A3D7B">
        <w:rPr>
          <w:rFonts w:eastAsia="Calibri" w:cs="Times New Roman"/>
          <w:szCs w:val="24"/>
        </w:rPr>
        <w:t>,</w:t>
      </w:r>
      <w:r w:rsidRPr="008A3D7B">
        <w:rPr>
          <w:rFonts w:eastAsia="Calibri" w:cs="Times New Roman"/>
          <w:i/>
          <w:szCs w:val="24"/>
        </w:rPr>
        <w:t xml:space="preserve"> </w:t>
      </w:r>
      <w:r w:rsidRPr="008A3D7B">
        <w:rPr>
          <w:rFonts w:eastAsia="Calibri" w:cs="Times New Roman"/>
          <w:szCs w:val="24"/>
        </w:rPr>
        <w:t xml:space="preserve">857 F.3d at 798 (citations and internal quotations omitted); </w:t>
      </w:r>
      <w:r w:rsidRPr="008A3D7B">
        <w:rPr>
          <w:rFonts w:eastAsia="Calibri" w:cs="Times New Roman"/>
          <w:i/>
          <w:szCs w:val="24"/>
        </w:rPr>
        <w:t xml:space="preserve">see also </w:t>
      </w:r>
      <w:proofErr w:type="spellStart"/>
      <w:r w:rsidRPr="008A3D7B">
        <w:rPr>
          <w:rFonts w:eastAsia="Calibri" w:cs="Times New Roman"/>
          <w:i/>
          <w:szCs w:val="24"/>
        </w:rPr>
        <w:t>O’Doan</w:t>
      </w:r>
      <w:proofErr w:type="spellEnd"/>
      <w:r w:rsidRPr="008A3D7B">
        <w:rPr>
          <w:rFonts w:eastAsia="Calibri" w:cs="Times New Roman"/>
          <w:i/>
          <w:szCs w:val="24"/>
        </w:rPr>
        <w:t xml:space="preserve"> v. Sanford</w:t>
      </w:r>
      <w:r w:rsidRPr="008A3D7B">
        <w:rPr>
          <w:rFonts w:eastAsia="Calibri" w:cs="Times New Roman"/>
          <w:szCs w:val="24"/>
        </w:rPr>
        <w:t xml:space="preserve">, 991 F.3d 1027, 1046 (9th Cir. 2021) (following </w:t>
      </w:r>
      <w:r w:rsidRPr="008A3D7B">
        <w:rPr>
          <w:rFonts w:eastAsia="Calibri" w:cs="Times New Roman"/>
          <w:i/>
          <w:szCs w:val="24"/>
        </w:rPr>
        <w:t xml:space="preserve">Devereaux v. </w:t>
      </w:r>
      <w:proofErr w:type="gramStart"/>
      <w:r w:rsidRPr="008A3D7B">
        <w:rPr>
          <w:rFonts w:eastAsia="Calibri" w:cs="Times New Roman"/>
          <w:i/>
          <w:szCs w:val="24"/>
        </w:rPr>
        <w:t>Abbey</w:t>
      </w:r>
      <w:r w:rsidRPr="008A3D7B">
        <w:rPr>
          <w:rFonts w:eastAsia="Calibri" w:cs="Times New Roman"/>
          <w:szCs w:val="24"/>
        </w:rPr>
        <w:t>,</w:t>
      </w:r>
      <w:r w:rsidRPr="008A3D7B">
        <w:rPr>
          <w:rFonts w:eastAsia="Calibri" w:cs="Times New Roman"/>
          <w:i/>
          <w:szCs w:val="24"/>
        </w:rPr>
        <w:t xml:space="preserve"> </w:t>
      </w:r>
      <w:r w:rsidRPr="008A3D7B">
        <w:rPr>
          <w:rFonts w:eastAsia="Calibri" w:cs="Times New Roman"/>
          <w:szCs w:val="24"/>
        </w:rPr>
        <w:t>but</w:t>
      </w:r>
      <w:proofErr w:type="gramEnd"/>
      <w:r w:rsidRPr="008A3D7B">
        <w:rPr>
          <w:rFonts w:eastAsia="Calibri" w:cs="Times New Roman"/>
          <w:szCs w:val="24"/>
        </w:rPr>
        <w:t xml:space="preserve"> noting that “a minor discrepancy” is not fabrication).</w:t>
      </w:r>
    </w:p>
    <w:p w14:paraId="281203D9" w14:textId="77777777" w:rsidR="008A3D7B" w:rsidRPr="008A3D7B" w:rsidRDefault="008A3D7B" w:rsidP="008A3D7B">
      <w:pPr>
        <w:autoSpaceDE w:val="0"/>
        <w:autoSpaceDN w:val="0"/>
        <w:adjustRightInd w:val="0"/>
        <w:rPr>
          <w:rFonts w:eastAsia="Calibri" w:cs="Times New Roman"/>
          <w:szCs w:val="24"/>
        </w:rPr>
      </w:pPr>
    </w:p>
    <w:p w14:paraId="562A6C4E"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 xml:space="preserve">The language in a Ninth Circuit case suggests that the mere use of fabricated evidence is violative of due process regardless of whether the person was convicted. In </w:t>
      </w:r>
      <w:r w:rsidRPr="008A3D7B">
        <w:rPr>
          <w:rFonts w:eastAsia="Calibri" w:cs="Times New Roman"/>
          <w:i/>
          <w:iCs/>
          <w:szCs w:val="24"/>
        </w:rPr>
        <w:t>Richards</w:t>
      </w:r>
      <w:r w:rsidRPr="008A3D7B">
        <w:rPr>
          <w:rFonts w:eastAsia="Calibri" w:cs="Times New Roman"/>
          <w:szCs w:val="24"/>
        </w:rPr>
        <w:t>, the plaintiff had been convicted of first-degree murder, but that conviction was later vacated based on false evidence.</w:t>
      </w:r>
      <w:r w:rsidRPr="008A3D7B">
        <w:rPr>
          <w:rFonts w:eastAsia="Calibri" w:cs="Times New Roman"/>
          <w:i/>
          <w:iCs/>
          <w:szCs w:val="24"/>
        </w:rPr>
        <w:t xml:space="preserve"> Richards</w:t>
      </w:r>
      <w:r w:rsidRPr="008A3D7B">
        <w:rPr>
          <w:rFonts w:eastAsia="Calibri" w:cs="Times New Roman"/>
          <w:szCs w:val="24"/>
        </w:rPr>
        <w:t>, 39 F.4th</w:t>
      </w:r>
      <w:r w:rsidRPr="008A3D7B">
        <w:rPr>
          <w:rFonts w:eastAsia="Calibri" w:cs="Times New Roman"/>
          <w:i/>
          <w:iCs/>
          <w:szCs w:val="24"/>
        </w:rPr>
        <w:t xml:space="preserve"> </w:t>
      </w:r>
      <w:r w:rsidRPr="008A3D7B">
        <w:rPr>
          <w:rFonts w:eastAsia="Calibri" w:cs="Times New Roman"/>
          <w:szCs w:val="24"/>
        </w:rPr>
        <w:t xml:space="preserve">at 566. The plaintiff then filed a § 1983 action against the County and various law enforcement officers. The court </w:t>
      </w:r>
      <w:proofErr w:type="gramStart"/>
      <w:r w:rsidRPr="008A3D7B">
        <w:rPr>
          <w:rFonts w:eastAsia="Calibri" w:cs="Times New Roman"/>
          <w:szCs w:val="24"/>
        </w:rPr>
        <w:t>said</w:t>
      </w:r>
      <w:proofErr w:type="gramEnd"/>
      <w:r w:rsidRPr="008A3D7B">
        <w:rPr>
          <w:rFonts w:eastAsia="Calibri" w:cs="Times New Roman"/>
          <w:szCs w:val="24"/>
        </w:rPr>
        <w:t xml:space="preserve"> “regardless of the plaintiff’s innocence or guilt, that “[</w:t>
      </w:r>
      <w:proofErr w:type="spellStart"/>
      <w:r w:rsidRPr="008A3D7B">
        <w:rPr>
          <w:rFonts w:eastAsia="Calibri" w:cs="Times New Roman"/>
          <w:szCs w:val="24"/>
        </w:rPr>
        <w:t>i</w:t>
      </w:r>
      <w:proofErr w:type="spellEnd"/>
      <w:r w:rsidRPr="008A3D7B">
        <w:rPr>
          <w:rFonts w:eastAsia="Calibri" w:cs="Times New Roman"/>
          <w:szCs w:val="24"/>
        </w:rPr>
        <w:t>]t would be anomalous to turn away a plaintiff who has been injured by deliberately fabricated evidence simply because that evidence alone was not sufficient to cause the conviction - the right to a fair trial is impinged either way.”</w:t>
      </w:r>
      <w:r w:rsidRPr="008A3D7B">
        <w:rPr>
          <w:rFonts w:eastAsia="Calibri" w:cs="Times New Roman"/>
          <w:i/>
          <w:iCs/>
          <w:szCs w:val="24"/>
        </w:rPr>
        <w:t xml:space="preserve"> Id. </w:t>
      </w:r>
      <w:r w:rsidRPr="008A3D7B">
        <w:rPr>
          <w:rFonts w:eastAsia="Calibri" w:cs="Times New Roman"/>
          <w:szCs w:val="24"/>
        </w:rPr>
        <w:t xml:space="preserve">at 573. Other courts have held that such evidence may not be used to prosecute or convict an individual. </w:t>
      </w:r>
      <w:r w:rsidRPr="008A3D7B">
        <w:rPr>
          <w:rFonts w:eastAsia="Calibri" w:cs="Times New Roman"/>
          <w:i/>
          <w:iCs/>
          <w:szCs w:val="24"/>
        </w:rPr>
        <w:t>Devereaux</w:t>
      </w:r>
      <w:r w:rsidRPr="008A3D7B">
        <w:rPr>
          <w:rFonts w:eastAsia="Calibri" w:cs="Times New Roman"/>
          <w:szCs w:val="24"/>
        </w:rPr>
        <w:t xml:space="preserve">, 263 F.3d. at 1075 (“the knowing use by the prosecution of perjured testimony in order to secure a criminal conviction violates the Constitution”); </w:t>
      </w:r>
      <w:r w:rsidRPr="008A3D7B">
        <w:rPr>
          <w:rFonts w:eastAsia="Calibri" w:cs="Times New Roman"/>
          <w:i/>
          <w:iCs/>
          <w:szCs w:val="24"/>
        </w:rPr>
        <w:t>Cole v. Carson</w:t>
      </w:r>
      <w:r w:rsidRPr="008A3D7B">
        <w:rPr>
          <w:rFonts w:eastAsia="Calibri" w:cs="Times New Roman"/>
          <w:szCs w:val="24"/>
        </w:rPr>
        <w:t xml:space="preserve">,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w:t>
      </w:r>
      <w:proofErr w:type="gramStart"/>
      <w:r w:rsidRPr="008A3D7B">
        <w:rPr>
          <w:rFonts w:eastAsia="Calibri" w:cs="Times New Roman"/>
          <w:szCs w:val="24"/>
        </w:rPr>
        <w:t>as a means to</w:t>
      </w:r>
      <w:proofErr w:type="gramEnd"/>
      <w:r w:rsidRPr="008A3D7B">
        <w:rPr>
          <w:rFonts w:eastAsia="Calibri" w:cs="Times New Roman"/>
          <w:szCs w:val="24"/>
        </w:rPr>
        <w:t xml:space="preserve"> satisfy the three elements for a trial court to consider.</w:t>
      </w:r>
    </w:p>
    <w:p w14:paraId="3489C953" w14:textId="77777777" w:rsidR="008A3D7B" w:rsidRPr="008A3D7B" w:rsidRDefault="008A3D7B" w:rsidP="008A3D7B">
      <w:pPr>
        <w:autoSpaceDE w:val="0"/>
        <w:autoSpaceDN w:val="0"/>
        <w:adjustRightInd w:val="0"/>
        <w:rPr>
          <w:rFonts w:eastAsia="Calibri" w:cs="Times New Roman"/>
          <w:szCs w:val="24"/>
        </w:rPr>
      </w:pPr>
    </w:p>
    <w:p w14:paraId="24FD3897"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“Typically, in constitutional tort cases the ‘[f]</w:t>
      </w:r>
      <w:proofErr w:type="spellStart"/>
      <w:r w:rsidRPr="008A3D7B">
        <w:rPr>
          <w:rFonts w:eastAsia="Calibri" w:cs="Times New Roman"/>
          <w:szCs w:val="24"/>
        </w:rPr>
        <w:t>iling</w:t>
      </w:r>
      <w:proofErr w:type="spellEnd"/>
      <w:r w:rsidRPr="008A3D7B">
        <w:rPr>
          <w:rFonts w:eastAsia="Calibri" w:cs="Times New Roman"/>
          <w:szCs w:val="24"/>
        </w:rPr>
        <w:t xml:space="preserve"> of a criminal complaint immunizes</w:t>
      </w:r>
    </w:p>
    <w:p w14:paraId="2170BE9E"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investigating officers . . . because it is presumed that the prosecutor filing the complaint</w:t>
      </w:r>
    </w:p>
    <w:p w14:paraId="7D4D6AFE"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exercised independent judgment in determining that probable cause for an accused’s arrest</w:t>
      </w:r>
    </w:p>
    <w:p w14:paraId="1E0E89F0"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 xml:space="preserve">exists at that time.’” </w:t>
      </w:r>
      <w:r w:rsidRPr="008A3D7B">
        <w:rPr>
          <w:rFonts w:eastAsia="Calibri" w:cs="Times New Roman"/>
          <w:i/>
          <w:szCs w:val="24"/>
        </w:rPr>
        <w:t>Caldwell</w:t>
      </w:r>
      <w:r w:rsidRPr="008A3D7B">
        <w:rPr>
          <w:rFonts w:eastAsia="Calibri" w:cs="Times New Roman"/>
          <w:szCs w:val="24"/>
        </w:rPr>
        <w:t xml:space="preserve">, 889 F.3d at 1115 (quoting </w:t>
      </w:r>
      <w:r w:rsidRPr="008A3D7B">
        <w:rPr>
          <w:rFonts w:eastAsia="Calibri" w:cs="Times New Roman"/>
          <w:i/>
          <w:szCs w:val="24"/>
        </w:rPr>
        <w:t>Smiddy v. Varney</w:t>
      </w:r>
      <w:r w:rsidRPr="008A3D7B">
        <w:rPr>
          <w:rFonts w:eastAsia="Calibri" w:cs="Times New Roman"/>
          <w:szCs w:val="24"/>
        </w:rPr>
        <w:t xml:space="preserve">, 665 F.2d 261, 266 (9th Cir. 1981), </w:t>
      </w:r>
      <w:r w:rsidRPr="008A3D7B">
        <w:rPr>
          <w:rFonts w:eastAsia="Calibri" w:cs="Times New Roman"/>
          <w:i/>
          <w:szCs w:val="24"/>
        </w:rPr>
        <w:t>overruled on other grounds by Beck v. City of Upland</w:t>
      </w:r>
      <w:r w:rsidRPr="008A3D7B">
        <w:rPr>
          <w:rFonts w:eastAsia="Calibri" w:cs="Times New Roman"/>
          <w:szCs w:val="24"/>
        </w:rPr>
        <w:t xml:space="preserve">, 527 F.3d 853, 865 (9th Cir. 2008)). However, the presumption can be overcome if a plaintiff establishes that officers “either presented false evidence to or withheld crucial information from the prosecutor.” </w:t>
      </w:r>
      <w:r w:rsidRPr="008A3D7B">
        <w:rPr>
          <w:rFonts w:eastAsia="Calibri" w:cs="Times New Roman"/>
          <w:i/>
          <w:szCs w:val="24"/>
        </w:rPr>
        <w:t>Caldwell</w:t>
      </w:r>
      <w:r w:rsidRPr="008A3D7B">
        <w:rPr>
          <w:rFonts w:eastAsia="Calibri" w:cs="Times New Roman"/>
          <w:szCs w:val="24"/>
        </w:rPr>
        <w:t xml:space="preserve">, 889 F.3d at 1116. At that point, “the analysis reverts back to a normal causation question” and the issue again becomes whether the constitutional violation caused the plaintiff’s harm. </w:t>
      </w:r>
      <w:r w:rsidRPr="008A3D7B">
        <w:rPr>
          <w:rFonts w:eastAsia="Calibri" w:cs="Times New Roman"/>
          <w:i/>
          <w:szCs w:val="24"/>
        </w:rPr>
        <w:t>Id</w:t>
      </w:r>
      <w:r w:rsidRPr="008A3D7B">
        <w:rPr>
          <w:rFonts w:eastAsia="Calibri" w:cs="Times New Roman"/>
          <w:szCs w:val="24"/>
        </w:rPr>
        <w:t>.</w:t>
      </w:r>
    </w:p>
    <w:p w14:paraId="2ECE72D0" w14:textId="77777777" w:rsidR="008A3D7B" w:rsidRPr="008A3D7B" w:rsidRDefault="008A3D7B" w:rsidP="008A3D7B">
      <w:pPr>
        <w:autoSpaceDE w:val="0"/>
        <w:autoSpaceDN w:val="0"/>
        <w:adjustRightInd w:val="0"/>
        <w:rPr>
          <w:rFonts w:eastAsia="Calibri" w:cs="Times New Roman"/>
          <w:szCs w:val="24"/>
        </w:rPr>
      </w:pPr>
    </w:p>
    <w:p w14:paraId="41175900"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An official’s deliberate fabrication of evidence or use of perjury also violates the rights</w:t>
      </w:r>
    </w:p>
    <w:p w14:paraId="37BE1AC2"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of a parent or child when introduced in a civil dependency proceeding. “[G]</w:t>
      </w:r>
      <w:proofErr w:type="spellStart"/>
      <w:r w:rsidRPr="008A3D7B">
        <w:rPr>
          <w:rFonts w:eastAsia="Calibri" w:cs="Times New Roman"/>
          <w:szCs w:val="24"/>
        </w:rPr>
        <w:t>overnment</w:t>
      </w:r>
      <w:proofErr w:type="spellEnd"/>
      <w:r w:rsidRPr="008A3D7B">
        <w:rPr>
          <w:rFonts w:eastAsia="Calibri" w:cs="Times New Roman"/>
          <w:szCs w:val="24"/>
        </w:rPr>
        <w:t xml:space="preserve"> perjury</w:t>
      </w:r>
    </w:p>
    <w:p w14:paraId="13156271"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 xml:space="preserve">and knowing use of false evidence </w:t>
      </w:r>
      <w:proofErr w:type="gramStart"/>
      <w:r w:rsidRPr="008A3D7B">
        <w:rPr>
          <w:rFonts w:eastAsia="Calibri" w:cs="Times New Roman"/>
          <w:szCs w:val="24"/>
        </w:rPr>
        <w:t>are</w:t>
      </w:r>
      <w:proofErr w:type="gramEnd"/>
      <w:r w:rsidRPr="008A3D7B">
        <w:rPr>
          <w:rFonts w:eastAsia="Calibri" w:cs="Times New Roman"/>
          <w:szCs w:val="24"/>
        </w:rPr>
        <w:t xml:space="preserve"> absolutely and obviously irreconcilable with the</w:t>
      </w:r>
    </w:p>
    <w:p w14:paraId="366E33FC"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Fourteenth Amendment’s guarantee of Due Process in our courts . . . There are no</w:t>
      </w:r>
    </w:p>
    <w:p w14:paraId="3CCD2775"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circumstances in a dependency proceeding that would permit government officials to bear false</w:t>
      </w:r>
    </w:p>
    <w:p w14:paraId="256F9656"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 xml:space="preserve">witness against a parent.” </w:t>
      </w:r>
      <w:r w:rsidRPr="008A3D7B">
        <w:rPr>
          <w:rFonts w:eastAsia="Calibri" w:cs="Times New Roman"/>
          <w:i/>
          <w:szCs w:val="24"/>
        </w:rPr>
        <w:t>Hardwick v. Vreeken</w:t>
      </w:r>
      <w:r w:rsidRPr="008A3D7B">
        <w:rPr>
          <w:rFonts w:eastAsia="Calibri" w:cs="Times New Roman"/>
          <w:szCs w:val="24"/>
        </w:rPr>
        <w:t>, 844 F.3d 1112, 1120 (9th Cir. 2017). For claims against social workers involving fabrication of evidence in child dependency proceedings, see 9.32 (Particular Rights—Fourteenth Amendment—Due Process—Interference with Parent/Child Relationship).</w:t>
      </w:r>
    </w:p>
    <w:p w14:paraId="44E72B1F" w14:textId="77777777" w:rsidR="008A3D7B" w:rsidRPr="008A3D7B" w:rsidRDefault="008A3D7B" w:rsidP="008A3D7B">
      <w:pPr>
        <w:autoSpaceDE w:val="0"/>
        <w:autoSpaceDN w:val="0"/>
        <w:adjustRightInd w:val="0"/>
        <w:rPr>
          <w:rFonts w:eastAsia="Calibri" w:cs="Times New Roman"/>
          <w:szCs w:val="24"/>
        </w:rPr>
      </w:pPr>
    </w:p>
    <w:p w14:paraId="736E21D8" w14:textId="77777777" w:rsidR="008A3D7B" w:rsidRPr="008A3D7B" w:rsidRDefault="008A3D7B" w:rsidP="008A3D7B">
      <w:pPr>
        <w:autoSpaceDE w:val="0"/>
        <w:autoSpaceDN w:val="0"/>
        <w:adjustRightInd w:val="0"/>
        <w:rPr>
          <w:rFonts w:eastAsia="Calibri" w:cs="Times New Roman"/>
          <w:szCs w:val="24"/>
        </w:rPr>
      </w:pPr>
      <w:r w:rsidRPr="008A3D7B">
        <w:rPr>
          <w:rFonts w:eastAsia="Calibri" w:cs="Times New Roman"/>
          <w:szCs w:val="24"/>
        </w:rPr>
        <w:tab/>
        <w:t xml:space="preserve">Imposing a deliberate indifference or reckless disregard for an accused’s rights or for the truth standard is appropriate in the substantive due process context. </w:t>
      </w:r>
      <w:r w:rsidRPr="008A3D7B">
        <w:rPr>
          <w:rFonts w:eastAsia="Calibri" w:cs="Times New Roman"/>
          <w:i/>
          <w:szCs w:val="24"/>
        </w:rPr>
        <w:t xml:space="preserve">See Gantt v. City of Los </w:t>
      </w:r>
      <w:r w:rsidRPr="008A3D7B">
        <w:rPr>
          <w:rFonts w:eastAsia="Calibri" w:cs="Times New Roman"/>
          <w:i/>
          <w:szCs w:val="24"/>
        </w:rPr>
        <w:lastRenderedPageBreak/>
        <w:t>Angeles</w:t>
      </w:r>
      <w:r w:rsidRPr="008A3D7B">
        <w:rPr>
          <w:rFonts w:eastAsia="Calibri" w:cs="Times New Roman"/>
          <w:szCs w:val="24"/>
        </w:rPr>
        <w:t>, 717 F.3d 702, 708 (9th Cir. 2013) (approving a deliberate indifference instruction, stating that “[d]</w:t>
      </w:r>
      <w:proofErr w:type="spellStart"/>
      <w:r w:rsidRPr="008A3D7B">
        <w:rPr>
          <w:rFonts w:eastAsia="Calibri" w:cs="Times New Roman"/>
          <w:szCs w:val="24"/>
        </w:rPr>
        <w:t>eliberate</w:t>
      </w:r>
      <w:proofErr w:type="spellEnd"/>
      <w:r w:rsidRPr="008A3D7B">
        <w:rPr>
          <w:rFonts w:eastAsia="Calibri" w:cs="Times New Roman"/>
          <w:szCs w:val="24"/>
        </w:rPr>
        <w:t xml:space="preserve"> indifference is the conscious or reckless disregard of the consequences of one's acts or omissions. It entails something more than negligence but is satisfied by something less than acts or omissions for the very purpose of causing harm or with knowledge that harm will result”); </w:t>
      </w:r>
      <w:r w:rsidRPr="008A3D7B">
        <w:rPr>
          <w:rFonts w:eastAsia="Calibri" w:cs="Times New Roman"/>
          <w:i/>
          <w:szCs w:val="24"/>
        </w:rPr>
        <w:t>Tennison v. City &amp; County of San Francisco</w:t>
      </w:r>
      <w:r w:rsidRPr="008A3D7B">
        <w:rPr>
          <w:rFonts w:eastAsia="Calibri" w:cs="Times New Roman"/>
          <w:szCs w:val="24"/>
        </w:rPr>
        <w:t xml:space="preserve">, 570 F.3d 1078, 1089 (9th Cir. 2009). Deliberate indifference encompasses recklessness. </w:t>
      </w:r>
      <w:r w:rsidRPr="008A3D7B">
        <w:rPr>
          <w:rFonts w:eastAsia="Calibri" w:cs="Times New Roman"/>
          <w:i/>
          <w:szCs w:val="24"/>
        </w:rPr>
        <w:t>Castro v. County of Los Angeles</w:t>
      </w:r>
      <w:r w:rsidRPr="008A3D7B">
        <w:rPr>
          <w:rFonts w:eastAsia="Calibri" w:cs="Times New Roman"/>
          <w:szCs w:val="24"/>
        </w:rPr>
        <w:t>, 833 F.3d 1060, 1071 (9th Cir. 2016) (</w:t>
      </w:r>
      <w:proofErr w:type="spellStart"/>
      <w:r w:rsidRPr="008A3D7B">
        <w:rPr>
          <w:rFonts w:eastAsia="Calibri" w:cs="Times New Roman"/>
          <w:szCs w:val="24"/>
        </w:rPr>
        <w:t>en</w:t>
      </w:r>
      <w:proofErr w:type="spellEnd"/>
      <w:r w:rsidRPr="008A3D7B">
        <w:rPr>
          <w:rFonts w:eastAsia="Calibri" w:cs="Times New Roman"/>
          <w:szCs w:val="24"/>
        </w:rPr>
        <w:t xml:space="preserve"> banc), noted that the “deliberate indifference” standard, at least in the context of a Fourteenth Amendment failure to protect claim, requires the plaintiff “to prove more than negligence but less than subjective intent—something akin to reckless disregard.” </w:t>
      </w:r>
      <w:r w:rsidRPr="008A3D7B">
        <w:rPr>
          <w:rFonts w:eastAsia="Calibri" w:cs="Times New Roman"/>
          <w:i/>
          <w:szCs w:val="24"/>
        </w:rPr>
        <w:t>See Gantt</w:t>
      </w:r>
      <w:r w:rsidRPr="008A3D7B">
        <w:rPr>
          <w:rFonts w:eastAsia="Calibri" w:cs="Times New Roman"/>
          <w:szCs w:val="24"/>
        </w:rPr>
        <w:t>, 717 F.3d at 708 (concluding no error in the portion of instruction stating “deliberate indifference is the conscious or reckless disregard of the consequences of one’s acts or omissions”);</w:t>
      </w:r>
      <w:r w:rsidRPr="008A3D7B">
        <w:rPr>
          <w:rFonts w:eastAsia="Calibri" w:cs="Times New Roman"/>
          <w:i/>
          <w:szCs w:val="24"/>
        </w:rPr>
        <w:t xml:space="preserve"> see also Tatum v. Moody</w:t>
      </w:r>
      <w:r w:rsidRPr="008A3D7B">
        <w:rPr>
          <w:rFonts w:eastAsia="Calibri" w:cs="Times New Roman"/>
          <w:szCs w:val="24"/>
        </w:rPr>
        <w:t>, 768 F.3d 806, 821 (9th Cir. 2014) (approving alternative instruction that also encompassed recklessness).</w:t>
      </w:r>
    </w:p>
    <w:p w14:paraId="631556A6" w14:textId="77777777" w:rsidR="008A3D7B" w:rsidRPr="008A3D7B" w:rsidRDefault="008A3D7B" w:rsidP="008A3D7B">
      <w:pPr>
        <w:autoSpaceDE w:val="0"/>
        <w:autoSpaceDN w:val="0"/>
        <w:adjustRightInd w:val="0"/>
        <w:jc w:val="right"/>
        <w:rPr>
          <w:rFonts w:eastAsia="Calibri" w:cs="Times New Roman"/>
          <w:szCs w:val="24"/>
        </w:rPr>
      </w:pPr>
      <w:r w:rsidRPr="008A3D7B">
        <w:rPr>
          <w:rFonts w:eastAsia="Calibri" w:cs="Times New Roman"/>
          <w:i/>
          <w:iCs/>
          <w:szCs w:val="24"/>
        </w:rPr>
        <w:t>Revised June 2025</w:t>
      </w:r>
    </w:p>
    <w:p w14:paraId="2D4FC971" w14:textId="49F70F66" w:rsidR="00B03D36" w:rsidRPr="008A3D7B" w:rsidRDefault="00B03D36" w:rsidP="008A3D7B"/>
    <w:sectPr w:rsidR="00B03D36" w:rsidRPr="008A3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331055">
    <w:abstractNumId w:val="1"/>
  </w:num>
  <w:num w:numId="2" w16cid:durableId="1025473959">
    <w:abstractNumId w:val="2"/>
  </w:num>
  <w:num w:numId="3" w16cid:durableId="14134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14C5A"/>
    <w:rsid w:val="001B2DC0"/>
    <w:rsid w:val="001F5CAF"/>
    <w:rsid w:val="00277CB1"/>
    <w:rsid w:val="002F3D5D"/>
    <w:rsid w:val="00341228"/>
    <w:rsid w:val="0043667B"/>
    <w:rsid w:val="004922F2"/>
    <w:rsid w:val="004A269F"/>
    <w:rsid w:val="004E5E65"/>
    <w:rsid w:val="00547BD9"/>
    <w:rsid w:val="00572F74"/>
    <w:rsid w:val="0058249A"/>
    <w:rsid w:val="00610EC8"/>
    <w:rsid w:val="00645E89"/>
    <w:rsid w:val="0073137A"/>
    <w:rsid w:val="00793606"/>
    <w:rsid w:val="008A3D7B"/>
    <w:rsid w:val="00922469"/>
    <w:rsid w:val="00961E6F"/>
    <w:rsid w:val="009F1BDD"/>
    <w:rsid w:val="00AD0E12"/>
    <w:rsid w:val="00B03D36"/>
    <w:rsid w:val="00B96321"/>
    <w:rsid w:val="00BC64CE"/>
    <w:rsid w:val="00CA6337"/>
    <w:rsid w:val="00DA6AD6"/>
    <w:rsid w:val="00DC5CFB"/>
    <w:rsid w:val="00E62DEA"/>
    <w:rsid w:val="00F2425A"/>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014C5A"/>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9288</Characters>
  <Application>Microsoft Office Word</Application>
  <DocSecurity>0</DocSecurity>
  <Lines>77</Lines>
  <Paragraphs>21</Paragraphs>
  <ScaleCrop>false</ScaleCrop>
  <Company>United States Courts</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2</cp:revision>
  <dcterms:created xsi:type="dcterms:W3CDTF">2026-02-27T00:15:00Z</dcterms:created>
  <dcterms:modified xsi:type="dcterms:W3CDTF">2026-02-27T00:15:00Z</dcterms:modified>
</cp:coreProperties>
</file>