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D1BB" w14:textId="5C70E212" w:rsidR="00576945" w:rsidRPr="00576945" w:rsidRDefault="00576945" w:rsidP="00576945">
      <w:pPr>
        <w:autoSpaceDE w:val="0"/>
        <w:autoSpaceDN w:val="0"/>
        <w:adjustRightInd w:val="0"/>
        <w:spacing w:after="0" w:line="240" w:lineRule="auto"/>
        <w:jc w:val="center"/>
        <w:rPr>
          <w:rFonts w:ascii="Times New Roman" w:hAnsi="Times New Roman" w:cs="Times New Roman"/>
          <w:b/>
          <w:bCs/>
          <w:sz w:val="24"/>
          <w:szCs w:val="24"/>
        </w:rPr>
      </w:pPr>
      <w:r w:rsidRPr="00576945">
        <w:rPr>
          <w:rFonts w:ascii="Times New Roman" w:hAnsi="Times New Roman" w:cs="Times New Roman"/>
          <w:sz w:val="24"/>
          <w:szCs w:val="24"/>
          <w:lang w:val="en-CA"/>
        </w:rPr>
        <w:fldChar w:fldCharType="begin"/>
      </w:r>
      <w:r w:rsidRPr="00576945">
        <w:rPr>
          <w:rFonts w:ascii="Times New Roman" w:hAnsi="Times New Roman" w:cs="Times New Roman"/>
          <w:sz w:val="24"/>
          <w:szCs w:val="24"/>
          <w:lang w:val="en-CA"/>
        </w:rPr>
        <w:instrText xml:space="preserve"> SEQ CHAPTER \h \r 1</w:instrText>
      </w:r>
      <w:r w:rsidRPr="00576945">
        <w:rPr>
          <w:rFonts w:ascii="Times New Roman" w:hAnsi="Times New Roman" w:cs="Times New Roman"/>
          <w:sz w:val="24"/>
          <w:szCs w:val="24"/>
          <w:lang w:val="en-CA"/>
        </w:rPr>
        <w:fldChar w:fldCharType="end"/>
      </w:r>
      <w:proofErr w:type="gramStart"/>
      <w:r w:rsidRPr="00576945">
        <w:rPr>
          <w:rFonts w:ascii="Times New Roman" w:hAnsi="Times New Roman" w:cs="Times New Roman"/>
          <w:b/>
          <w:bCs/>
          <w:sz w:val="24"/>
          <w:szCs w:val="24"/>
        </w:rPr>
        <w:t>9.3  Section</w:t>
      </w:r>
      <w:proofErr w:type="gramEnd"/>
      <w:r w:rsidRPr="00576945">
        <w:rPr>
          <w:rFonts w:ascii="Times New Roman" w:hAnsi="Times New Roman" w:cs="Times New Roman"/>
          <w:b/>
          <w:bCs/>
          <w:sz w:val="24"/>
          <w:szCs w:val="24"/>
        </w:rPr>
        <w:t xml:space="preserve"> 1983 Claim Against Defendant </w:t>
      </w:r>
      <w:r>
        <w:rPr>
          <w:rFonts w:ascii="Times New Roman" w:hAnsi="Times New Roman" w:cs="Times New Roman"/>
          <w:b/>
          <w:bCs/>
          <w:sz w:val="24"/>
          <w:szCs w:val="24"/>
        </w:rPr>
        <w:t>i</w:t>
      </w:r>
      <w:r w:rsidRPr="00576945">
        <w:rPr>
          <w:rFonts w:ascii="Times New Roman" w:hAnsi="Times New Roman" w:cs="Times New Roman"/>
          <w:b/>
          <w:bCs/>
          <w:sz w:val="24"/>
          <w:szCs w:val="24"/>
        </w:rPr>
        <w:t xml:space="preserve">n Individual Capacity—Elements </w:t>
      </w:r>
      <w:r>
        <w:rPr>
          <w:rFonts w:ascii="Times New Roman" w:hAnsi="Times New Roman" w:cs="Times New Roman"/>
          <w:b/>
          <w:bCs/>
          <w:sz w:val="24"/>
          <w:szCs w:val="24"/>
        </w:rPr>
        <w:t>a</w:t>
      </w:r>
      <w:r w:rsidRPr="00576945">
        <w:rPr>
          <w:rFonts w:ascii="Times New Roman" w:hAnsi="Times New Roman" w:cs="Times New Roman"/>
          <w:b/>
          <w:bCs/>
          <w:sz w:val="24"/>
          <w:szCs w:val="24"/>
        </w:rPr>
        <w:t xml:space="preserve">nd Burden </w:t>
      </w:r>
      <w:r>
        <w:rPr>
          <w:rFonts w:ascii="Times New Roman" w:hAnsi="Times New Roman" w:cs="Times New Roman"/>
          <w:b/>
          <w:bCs/>
          <w:sz w:val="24"/>
          <w:szCs w:val="24"/>
        </w:rPr>
        <w:t>o</w:t>
      </w:r>
      <w:r w:rsidRPr="00576945">
        <w:rPr>
          <w:rFonts w:ascii="Times New Roman" w:hAnsi="Times New Roman" w:cs="Times New Roman"/>
          <w:b/>
          <w:bCs/>
          <w:sz w:val="24"/>
          <w:szCs w:val="24"/>
        </w:rPr>
        <w:t>f Proof</w:t>
      </w:r>
    </w:p>
    <w:p w14:paraId="54C895C6"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E26B88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roofErr w:type="gramStart"/>
      <w:r w:rsidRPr="00576945">
        <w:rPr>
          <w:rFonts w:ascii="Times New Roman" w:hAnsi="Times New Roman" w:cs="Times New Roman"/>
          <w:sz w:val="24"/>
          <w:szCs w:val="24"/>
        </w:rPr>
        <w:t>In order to</w:t>
      </w:r>
      <w:proofErr w:type="gramEnd"/>
      <w:r w:rsidRPr="00576945">
        <w:rPr>
          <w:rFonts w:ascii="Times New Roman" w:hAnsi="Times New Roman" w:cs="Times New Roman"/>
          <w:sz w:val="24"/>
          <w:szCs w:val="24"/>
        </w:rPr>
        <w:t xml:space="preserve"> prevail on [his] [her] § 1983 claim against the defendant [</w:t>
      </w:r>
      <w:r w:rsidRPr="00576945">
        <w:rPr>
          <w:rFonts w:ascii="Times New Roman" w:hAnsi="Times New Roman" w:cs="Times New Roman"/>
          <w:i/>
          <w:iCs/>
          <w:sz w:val="24"/>
          <w:szCs w:val="24"/>
          <w:u w:val="single"/>
        </w:rPr>
        <w:t>name of individual defendant</w:t>
      </w:r>
      <w:r w:rsidRPr="00576945">
        <w:rPr>
          <w:rFonts w:ascii="Times New Roman" w:hAnsi="Times New Roman" w:cs="Times New Roman"/>
          <w:sz w:val="24"/>
          <w:szCs w:val="24"/>
        </w:rPr>
        <w:t>], the plaintiff must prove each of the following elements by a preponderance of the evidence:</w:t>
      </w:r>
      <w:r w:rsidRPr="00576945">
        <w:rPr>
          <w:rFonts w:ascii="Times New Roman" w:hAnsi="Times New Roman" w:cs="Times New Roman"/>
          <w:sz w:val="24"/>
          <w:szCs w:val="24"/>
        </w:rPr>
        <w:tab/>
      </w:r>
    </w:p>
    <w:p w14:paraId="1E81FD9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p>
    <w:p w14:paraId="7BEA6EEE" w14:textId="77777777" w:rsidR="00576945" w:rsidRPr="00576945" w:rsidRDefault="00576945" w:rsidP="00576945">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576945">
        <w:rPr>
          <w:rFonts w:ascii="Times New Roman" w:hAnsi="Times New Roman" w:cs="Times New Roman"/>
          <w:sz w:val="24"/>
          <w:szCs w:val="24"/>
        </w:rPr>
        <w:t>1.</w:t>
      </w:r>
      <w:r w:rsidRPr="00576945">
        <w:rPr>
          <w:rFonts w:ascii="Times New Roman" w:hAnsi="Times New Roman" w:cs="Times New Roman"/>
          <w:sz w:val="24"/>
          <w:szCs w:val="24"/>
        </w:rPr>
        <w:tab/>
        <w:t>the defendant acted under color of state law; and</w:t>
      </w:r>
    </w:p>
    <w:p w14:paraId="6BAEA1EF"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587493C" w14:textId="77777777" w:rsidR="00576945" w:rsidRPr="00576945" w:rsidRDefault="00576945" w:rsidP="00576945">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576945">
        <w:rPr>
          <w:rFonts w:ascii="Times New Roman" w:hAnsi="Times New Roman" w:cs="Times New Roman"/>
          <w:sz w:val="24"/>
          <w:szCs w:val="24"/>
        </w:rPr>
        <w:tab/>
        <w:t>2.</w:t>
      </w:r>
      <w:r w:rsidRPr="00576945">
        <w:rPr>
          <w:rFonts w:ascii="Times New Roman" w:hAnsi="Times New Roman" w:cs="Times New Roman"/>
          <w:sz w:val="24"/>
          <w:szCs w:val="24"/>
        </w:rPr>
        <w:tab/>
        <w:t xml:space="preserve">the [act[s]] [failure to act] of the defendant deprived the plaintiff of [his] [her] </w:t>
      </w:r>
      <w:proofErr w:type="gramStart"/>
      <w:r w:rsidRPr="00576945">
        <w:rPr>
          <w:rFonts w:ascii="Times New Roman" w:hAnsi="Times New Roman" w:cs="Times New Roman"/>
          <w:sz w:val="24"/>
          <w:szCs w:val="24"/>
        </w:rPr>
        <w:t>particular rights</w:t>
      </w:r>
      <w:proofErr w:type="gramEnd"/>
      <w:r w:rsidRPr="00576945">
        <w:rPr>
          <w:rFonts w:ascii="Times New Roman" w:hAnsi="Times New Roman" w:cs="Times New Roman"/>
          <w:sz w:val="24"/>
          <w:szCs w:val="24"/>
        </w:rPr>
        <w:t xml:space="preserve"> under [the laws of the United States] [the United States Constitution] as explained in later instructions. </w:t>
      </w:r>
    </w:p>
    <w:p w14:paraId="52113C91"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7A4D623C"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A person acts “under color of state law” when the person acts or purports to act in the performance of official duties under any state, county, or municipal law, </w:t>
      </w:r>
      <w:proofErr w:type="gramStart"/>
      <w:r w:rsidRPr="00576945">
        <w:rPr>
          <w:rFonts w:ascii="Times New Roman" w:hAnsi="Times New Roman" w:cs="Times New Roman"/>
          <w:sz w:val="24"/>
          <w:szCs w:val="24"/>
        </w:rPr>
        <w:t>ordinance</w:t>
      </w:r>
      <w:proofErr w:type="gramEnd"/>
      <w:r w:rsidRPr="00576945">
        <w:rPr>
          <w:rFonts w:ascii="Times New Roman" w:hAnsi="Times New Roman" w:cs="Times New Roman"/>
          <w:sz w:val="24"/>
          <w:szCs w:val="24"/>
        </w:rPr>
        <w:t xml:space="preserve"> or regulation. [[The parties have stipulated] [I instruct you] that the defendant acted under color of state law.]</w:t>
      </w:r>
    </w:p>
    <w:p w14:paraId="05BE96A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7BA64C12"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If you find the plaintiff has proved each of these elements, and if you find that the plaintiff has proved all the elements [he] [she] is required to prove under Instruction[s] [</w:t>
      </w:r>
      <w:r w:rsidRPr="00576945">
        <w:rPr>
          <w:rFonts w:ascii="Times New Roman" w:hAnsi="Times New Roman" w:cs="Times New Roman"/>
          <w:i/>
          <w:iCs/>
          <w:sz w:val="24"/>
          <w:szCs w:val="24"/>
          <w:u w:val="single"/>
        </w:rPr>
        <w:t xml:space="preserve">specify the instruction[s] that deal with the </w:t>
      </w:r>
      <w:proofErr w:type="gramStart"/>
      <w:r w:rsidRPr="00576945">
        <w:rPr>
          <w:rFonts w:ascii="Times New Roman" w:hAnsi="Times New Roman" w:cs="Times New Roman"/>
          <w:i/>
          <w:iCs/>
          <w:sz w:val="24"/>
          <w:szCs w:val="24"/>
          <w:u w:val="single"/>
        </w:rPr>
        <w:t>particular right</w:t>
      </w:r>
      <w:proofErr w:type="gramEnd"/>
      <w:r w:rsidRPr="00576945">
        <w:rPr>
          <w:rFonts w:ascii="Times New Roman" w:hAnsi="Times New Roman" w:cs="Times New Roman"/>
          <w:i/>
          <w:iCs/>
          <w:sz w:val="24"/>
          <w:szCs w:val="24"/>
          <w:u w:val="single"/>
        </w:rPr>
        <w:t>[s]</w:t>
      </w:r>
      <w:r w:rsidRPr="00576945">
        <w:rPr>
          <w:rFonts w:ascii="Times New Roman" w:hAnsi="Times New Roman" w:cs="Times New Roman"/>
          <w:sz w:val="24"/>
          <w:szCs w:val="24"/>
        </w:rPr>
        <w:t>], your verdict should be for the plaintiff.  If, on the other hand, you find that the plaintiff has failed to prove any one or more of these elements, your verdict should be for the defendant.</w:t>
      </w:r>
    </w:p>
    <w:p w14:paraId="35C152B7"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48EF9D7"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rPr>
      </w:pPr>
      <w:r w:rsidRPr="00576945">
        <w:rPr>
          <w:rFonts w:ascii="Times New Roman" w:hAnsi="Times New Roman" w:cs="Times New Roman"/>
          <w:b/>
          <w:bCs/>
          <w:sz w:val="24"/>
          <w:szCs w:val="24"/>
        </w:rPr>
        <w:t>Comment</w:t>
      </w:r>
    </w:p>
    <w:p w14:paraId="0C139243"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65DED00E"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5" w:lineRule="auto"/>
        <w:rPr>
          <w:rFonts w:ascii="Times New Roman" w:hAnsi="Times New Roman" w:cs="Times New Roman"/>
          <w:sz w:val="24"/>
          <w:szCs w:val="24"/>
        </w:rPr>
      </w:pPr>
      <w:r w:rsidRPr="00576945">
        <w:rPr>
          <w:rFonts w:ascii="Times New Roman" w:hAnsi="Times New Roman" w:cs="Times New Roman"/>
          <w:sz w:val="24"/>
          <w:szCs w:val="24"/>
        </w:rPr>
        <w:tab/>
        <w:t xml:space="preserve">Use this instruction only in conjunction with an applicable “particular rights” instruction, such as Instructions 9.9–9.33.  Such an instruction should set forth the additional elements a plaintiff must establish to prove the violation of the </w:t>
      </w:r>
      <w:proofErr w:type="gramStart"/>
      <w:r w:rsidRPr="00576945">
        <w:rPr>
          <w:rFonts w:ascii="Times New Roman" w:hAnsi="Times New Roman" w:cs="Times New Roman"/>
          <w:sz w:val="24"/>
          <w:szCs w:val="24"/>
        </w:rPr>
        <w:t>particular constitutional</w:t>
      </w:r>
      <w:proofErr w:type="gramEnd"/>
      <w:r w:rsidRPr="00576945">
        <w:rPr>
          <w:rFonts w:ascii="Times New Roman" w:hAnsi="Times New Roman" w:cs="Times New Roman"/>
          <w:sz w:val="24"/>
          <w:szCs w:val="24"/>
        </w:rPr>
        <w:t xml:space="preserve"> right or federal law at issue.</w:t>
      </w:r>
    </w:p>
    <w:p w14:paraId="2FE0A060"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57753CF1"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The elements of a § 1983 claim </w:t>
      </w:r>
      <w:proofErr w:type="gramStart"/>
      <w:r w:rsidRPr="00576945">
        <w:rPr>
          <w:rFonts w:ascii="Times New Roman" w:hAnsi="Times New Roman" w:cs="Times New Roman"/>
          <w:sz w:val="24"/>
          <w:szCs w:val="24"/>
        </w:rPr>
        <w:t>are</w:t>
      </w:r>
      <w:proofErr w:type="gramEnd"/>
      <w:r w:rsidRPr="00576945">
        <w:rPr>
          <w:rFonts w:ascii="Times New Roman" w:hAnsi="Times New Roman" w:cs="Times New Roman"/>
          <w:sz w:val="24"/>
          <w:szCs w:val="24"/>
        </w:rPr>
        <w:t xml:space="preserve"> (1) the action occurred “under color of state law” and (2) the action resulted in the deprivation of a constitutional right or federal statutory right.  </w:t>
      </w:r>
      <w:r w:rsidRPr="00576945">
        <w:rPr>
          <w:rFonts w:ascii="Times New Roman" w:hAnsi="Times New Roman" w:cs="Times New Roman"/>
          <w:i/>
          <w:iCs/>
          <w:sz w:val="24"/>
          <w:szCs w:val="24"/>
        </w:rPr>
        <w:t>Long v. County of Los Angeles</w:t>
      </w:r>
      <w:r w:rsidRPr="00576945">
        <w:rPr>
          <w:rFonts w:ascii="Times New Roman" w:hAnsi="Times New Roman" w:cs="Times New Roman"/>
          <w:sz w:val="24"/>
          <w:szCs w:val="24"/>
        </w:rPr>
        <w:t>, 442 F.3d 1178, 1185 (9th Cir. 2006) (citing</w:t>
      </w:r>
      <w:r w:rsidRPr="00576945">
        <w:rPr>
          <w:rFonts w:ascii="Times New Roman" w:hAnsi="Times New Roman" w:cs="Times New Roman"/>
          <w:i/>
          <w:iCs/>
          <w:sz w:val="24"/>
          <w:szCs w:val="24"/>
        </w:rPr>
        <w:t xml:space="preserve"> West v. Atkins</w:t>
      </w:r>
      <w:r w:rsidRPr="00576945">
        <w:rPr>
          <w:rFonts w:ascii="Times New Roman" w:hAnsi="Times New Roman" w:cs="Times New Roman"/>
          <w:sz w:val="24"/>
          <w:szCs w:val="24"/>
        </w:rPr>
        <w:t xml:space="preserve">, 487 U.S. 42, 48 (1988)).  </w:t>
      </w:r>
      <w:proofErr w:type="gramStart"/>
      <w:r w:rsidRPr="00576945">
        <w:rPr>
          <w:rFonts w:ascii="Times New Roman" w:hAnsi="Times New Roman" w:cs="Times New Roman"/>
          <w:sz w:val="24"/>
          <w:szCs w:val="24"/>
        </w:rPr>
        <w:t>In order to</w:t>
      </w:r>
      <w:proofErr w:type="gramEnd"/>
      <w:r w:rsidRPr="00576945">
        <w:rPr>
          <w:rFonts w:ascii="Times New Roman" w:hAnsi="Times New Roman" w:cs="Times New Roman"/>
          <w:sz w:val="24"/>
          <w:szCs w:val="24"/>
        </w:rPr>
        <w:t xml:space="preserve"> be individually liable under § 1983, an individual must personally participate in an alleged rights deprivation.  </w:t>
      </w:r>
      <w:r w:rsidRPr="00576945">
        <w:rPr>
          <w:rFonts w:ascii="Times New Roman" w:hAnsi="Times New Roman" w:cs="Times New Roman"/>
          <w:i/>
          <w:iCs/>
          <w:sz w:val="24"/>
          <w:szCs w:val="24"/>
        </w:rPr>
        <w:t>Avalos v. Baca</w:t>
      </w:r>
      <w:r w:rsidRPr="00576945">
        <w:rPr>
          <w:rFonts w:ascii="Times New Roman" w:hAnsi="Times New Roman" w:cs="Times New Roman"/>
          <w:sz w:val="24"/>
          <w:szCs w:val="24"/>
        </w:rPr>
        <w:t>, 596 F.3d 583, 587 (9th Cir. 2010).</w:t>
      </w:r>
    </w:p>
    <w:p w14:paraId="47AFE0FD"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415711EB"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a § 1983 action, the plaintiff must also demonstrate that the defendant’s conduct was the actionable cause of the claimed injury.”  </w:t>
      </w:r>
      <w:r w:rsidRPr="00576945">
        <w:rPr>
          <w:rFonts w:ascii="Times New Roman" w:hAnsi="Times New Roman" w:cs="Times New Roman"/>
          <w:i/>
          <w:iCs/>
          <w:sz w:val="24"/>
          <w:szCs w:val="24"/>
        </w:rPr>
        <w:t>Harper v. City of Los Angeles</w:t>
      </w:r>
      <w:r w:rsidRPr="00576945">
        <w:rPr>
          <w:rFonts w:ascii="Times New Roman" w:hAnsi="Times New Roman" w:cs="Times New Roman"/>
          <w:sz w:val="24"/>
          <w:szCs w:val="24"/>
        </w:rPr>
        <w:t xml:space="preserve">, 533 F.3d 1010, 1026 (9th Cir. 2008).  “To meet this causation requirement, the plaintiff must establish both causation-in-fact and proximate causation.”  </w:t>
      </w:r>
      <w:r w:rsidRPr="00576945">
        <w:rPr>
          <w:rFonts w:ascii="Times New Roman" w:hAnsi="Times New Roman" w:cs="Times New Roman"/>
          <w:i/>
          <w:iCs/>
          <w:sz w:val="24"/>
          <w:szCs w:val="24"/>
        </w:rPr>
        <w:t>Id.</w:t>
      </w:r>
    </w:p>
    <w:p w14:paraId="44572D34"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F6DECA5" w14:textId="0C33BAFF" w:rsidR="00576945" w:rsidRDefault="00576945"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w:t>
      </w:r>
      <w:proofErr w:type="spellStart"/>
      <w:r w:rsidRPr="00576945">
        <w:rPr>
          <w:rFonts w:ascii="Times New Roman" w:hAnsi="Times New Roman" w:cs="Times New Roman"/>
          <w:i/>
          <w:iCs/>
          <w:sz w:val="24"/>
          <w:szCs w:val="24"/>
        </w:rPr>
        <w:t>Reynaga</w:t>
      </w:r>
      <w:proofErr w:type="spellEnd"/>
      <w:r w:rsidRPr="00576945">
        <w:rPr>
          <w:rFonts w:ascii="Times New Roman" w:hAnsi="Times New Roman" w:cs="Times New Roman"/>
          <w:i/>
          <w:iCs/>
          <w:sz w:val="24"/>
          <w:szCs w:val="24"/>
        </w:rPr>
        <w:t xml:space="preserve"> Hernandez v. Skinner</w:t>
      </w:r>
      <w:r w:rsidRPr="00576945">
        <w:rPr>
          <w:rFonts w:ascii="Times New Roman" w:hAnsi="Times New Roman" w:cs="Times New Roman"/>
          <w:sz w:val="24"/>
          <w:szCs w:val="24"/>
        </w:rPr>
        <w:t xml:space="preserve">, 969 F.3d 930, 941-42 (9th Cir. 2020), the Ninth Circuit discussed, for the first time, the minimum level of involvement needed for § 1983 liability under the integral-participant doctrine.  </w:t>
      </w:r>
      <w:bookmarkStart w:id="0" w:name="_Hlk126231110"/>
      <w:r w:rsidR="007649FC" w:rsidRPr="007649FC">
        <w:rPr>
          <w:rFonts w:ascii="Times New Roman" w:hAnsi="Times New Roman" w:cs="Times New Roman"/>
          <w:sz w:val="24"/>
          <w:szCs w:val="24"/>
        </w:rPr>
        <w:t>An actor may be deemed to have caused a</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constitutional violation under the “integral-participant doctrine,” “only if (1) the</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defendant knew about and acquiesced in the constitutionally defective conduct as</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 xml:space="preserve">part of a </w:t>
      </w:r>
      <w:r w:rsidR="007649FC" w:rsidRPr="007649FC">
        <w:rPr>
          <w:rFonts w:ascii="Times New Roman" w:hAnsi="Times New Roman" w:cs="Times New Roman"/>
          <w:sz w:val="24"/>
          <w:szCs w:val="24"/>
        </w:rPr>
        <w:lastRenderedPageBreak/>
        <w:t>common plan with</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those whose conduct constituted the violation, or (2)</w:t>
      </w:r>
      <w:r w:rsidR="008633D4">
        <w:rPr>
          <w:rFonts w:ascii="Times New Roman" w:hAnsi="Times New Roman" w:cs="Times New Roman"/>
          <w:sz w:val="24"/>
          <w:szCs w:val="24"/>
        </w:rPr>
        <w:t xml:space="preserve"> </w:t>
      </w:r>
      <w:r w:rsidR="007649FC" w:rsidRPr="007649FC">
        <w:rPr>
          <w:rFonts w:ascii="Times New Roman" w:hAnsi="Times New Roman" w:cs="Times New Roman"/>
          <w:sz w:val="24"/>
          <w:szCs w:val="24"/>
        </w:rPr>
        <w:t>the defendant set in motion a series of</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acts by others which the defendant knew or</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reasonably should have known would cause others to inflict the constitutional</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 xml:space="preserve">injury.” </w:t>
      </w:r>
      <w:r w:rsidR="00A60DE1">
        <w:rPr>
          <w:rFonts w:ascii="Times New Roman" w:hAnsi="Times New Roman" w:cs="Times New Roman"/>
          <w:sz w:val="24"/>
          <w:szCs w:val="24"/>
        </w:rPr>
        <w:t xml:space="preserve"> </w:t>
      </w:r>
      <w:r w:rsidR="007649FC" w:rsidRPr="007649FC">
        <w:rPr>
          <w:rFonts w:ascii="Times New Roman" w:hAnsi="Times New Roman" w:cs="Times New Roman"/>
          <w:i/>
          <w:iCs/>
          <w:sz w:val="24"/>
          <w:szCs w:val="24"/>
        </w:rPr>
        <w:t>Peck v. Montoya</w:t>
      </w:r>
      <w:r w:rsidR="007649FC" w:rsidRPr="007649FC">
        <w:rPr>
          <w:rFonts w:ascii="Times New Roman" w:hAnsi="Times New Roman" w:cs="Times New Roman"/>
          <w:sz w:val="24"/>
          <w:szCs w:val="24"/>
        </w:rPr>
        <w:t xml:space="preserve">, 51 F.4th 877, 891 (9th Cir. 2022); </w:t>
      </w:r>
      <w:r w:rsidR="007649FC" w:rsidRPr="007649FC">
        <w:rPr>
          <w:rFonts w:ascii="Times New Roman" w:hAnsi="Times New Roman" w:cs="Times New Roman"/>
          <w:i/>
          <w:iCs/>
          <w:sz w:val="24"/>
          <w:szCs w:val="24"/>
        </w:rPr>
        <w:t xml:space="preserve">see id. </w:t>
      </w:r>
      <w:r w:rsidR="007649FC" w:rsidRPr="007649FC">
        <w:rPr>
          <w:rFonts w:ascii="Times New Roman" w:hAnsi="Times New Roman" w:cs="Times New Roman"/>
          <w:sz w:val="24"/>
          <w:szCs w:val="24"/>
        </w:rPr>
        <w:t>at</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889</w:t>
      </w:r>
      <w:r w:rsidR="008633D4">
        <w:rPr>
          <w:rFonts w:ascii="Times New Roman" w:hAnsi="Times New Roman" w:cs="Times New Roman"/>
          <w:sz w:val="24"/>
          <w:szCs w:val="24"/>
        </w:rPr>
        <w:t>-</w:t>
      </w:r>
      <w:r w:rsidR="007649FC" w:rsidRPr="007649FC">
        <w:rPr>
          <w:rFonts w:ascii="Times New Roman" w:hAnsi="Times New Roman" w:cs="Times New Roman"/>
          <w:sz w:val="24"/>
          <w:szCs w:val="24"/>
        </w:rPr>
        <w:t>92</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(holding that when non</w:t>
      </w:r>
      <w:r w:rsidR="003A3578">
        <w:rPr>
          <w:rFonts w:ascii="Times New Roman" w:hAnsi="Times New Roman" w:cs="Times New Roman"/>
          <w:sz w:val="24"/>
          <w:szCs w:val="24"/>
        </w:rPr>
        <w:t xml:space="preserve"> </w:t>
      </w:r>
      <w:r w:rsidR="00F01BAE" w:rsidRPr="007649FC">
        <w:rPr>
          <w:rFonts w:ascii="Times New Roman" w:hAnsi="Times New Roman" w:cs="Times New Roman"/>
          <w:sz w:val="24"/>
          <w:szCs w:val="24"/>
        </w:rPr>
        <w:t>shooting</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officers did not form plan with shooting officers to shoot suspect,</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did not set in</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motion acts by shooting officers, and did not know or should</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have known constitutional violation would occur, non-shooting officers</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were not integral participants in constitutional violation).</w:t>
      </w:r>
      <w:bookmarkEnd w:id="0"/>
      <w:r w:rsidR="007649FC">
        <w:rPr>
          <w:rFonts w:ascii="Times New Roman" w:hAnsi="Times New Roman" w:cs="Times New Roman"/>
          <w:sz w:val="24"/>
          <w:szCs w:val="24"/>
        </w:rPr>
        <w:t xml:space="preserve">  </w:t>
      </w:r>
      <w:r w:rsidRPr="00576945">
        <w:rPr>
          <w:rFonts w:ascii="Times New Roman" w:hAnsi="Times New Roman" w:cs="Times New Roman"/>
          <w:sz w:val="24"/>
          <w:szCs w:val="24"/>
        </w:rPr>
        <w:t xml:space="preserve">When liability is alleged against a defendant on this basis, the model instruction stated above will need to be modified. </w:t>
      </w:r>
    </w:p>
    <w:p w14:paraId="6184FD60" w14:textId="45F941F6" w:rsidR="007649FC" w:rsidRDefault="007649FC"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6645E66" w14:textId="5B10587F" w:rsidR="007649FC" w:rsidRDefault="007649FC"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
      </w:r>
    </w:p>
    <w:p w14:paraId="45ADC1A3" w14:textId="77777777" w:rsidR="007649FC" w:rsidRPr="00576945" w:rsidRDefault="007649FC"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iCs/>
          <w:sz w:val="24"/>
          <w:szCs w:val="24"/>
        </w:rPr>
      </w:pPr>
    </w:p>
    <w:p w14:paraId="5B01CB00" w14:textId="1D1FF673" w:rsidR="00FE7F82" w:rsidRDefault="00576945" w:rsidP="007649FC">
      <w:pPr>
        <w:jc w:val="right"/>
      </w:pPr>
      <w:r w:rsidRPr="00576945">
        <w:rPr>
          <w:rFonts w:ascii="Times New Roman" w:hAnsi="Times New Roman" w:cs="Times New Roman"/>
          <w:i/>
          <w:iCs/>
          <w:sz w:val="24"/>
          <w:szCs w:val="24"/>
        </w:rPr>
        <w:t xml:space="preserve">Revised </w:t>
      </w:r>
      <w:r w:rsidR="007649FC">
        <w:rPr>
          <w:rFonts w:ascii="Times New Roman" w:hAnsi="Times New Roman" w:cs="Times New Roman"/>
          <w:i/>
          <w:iCs/>
          <w:sz w:val="24"/>
          <w:szCs w:val="24"/>
        </w:rPr>
        <w:t>Dec. 2022</w:t>
      </w:r>
    </w:p>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45"/>
    <w:rsid w:val="003A3578"/>
    <w:rsid w:val="00576945"/>
    <w:rsid w:val="006C3B0A"/>
    <w:rsid w:val="007649FC"/>
    <w:rsid w:val="008633D4"/>
    <w:rsid w:val="00887257"/>
    <w:rsid w:val="00A32C80"/>
    <w:rsid w:val="00A60DE1"/>
    <w:rsid w:val="00F01BAE"/>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40CD"/>
  <w15:chartTrackingRefBased/>
  <w15:docId w15:val="{FA124237-BC73-4BC1-8DDF-B5E8EEF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4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8</cp:revision>
  <dcterms:created xsi:type="dcterms:W3CDTF">2023-01-06T18:27:00Z</dcterms:created>
  <dcterms:modified xsi:type="dcterms:W3CDTF">2023-02-02T19:52:00Z</dcterms:modified>
</cp:coreProperties>
</file>