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C02E" w14:textId="77777777" w:rsidR="008156B8" w:rsidRPr="00771CA2" w:rsidRDefault="008156B8" w:rsidP="008156B8">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65157302"/>
      <w:r w:rsidRPr="00771CA2">
        <w:rPr>
          <w:rFonts w:ascii="Times New Roman" w:hAnsi="Times New Roman" w:cs="Times New Roman"/>
          <w:b/>
          <w:bCs/>
          <w:sz w:val="24"/>
          <w:szCs w:val="24"/>
        </w:rPr>
        <w:t xml:space="preserve">9.5 </w:t>
      </w:r>
      <w:bookmarkEnd w:id="0"/>
      <w:r w:rsidRPr="00771CA2">
        <w:rPr>
          <w:rFonts w:ascii="Times New Roman" w:hAnsi="Times New Roman" w:cs="Times New Roman"/>
          <w:b/>
          <w:bCs/>
          <w:sz w:val="24"/>
          <w:szCs w:val="24"/>
        </w:rPr>
        <w:t xml:space="preserve">Section 1983 Claim Against Local Governing Body Defendants </w:t>
      </w:r>
    </w:p>
    <w:p w14:paraId="3A5F73E9" w14:textId="77777777" w:rsidR="008156B8" w:rsidRPr="00771CA2" w:rsidRDefault="008156B8" w:rsidP="008156B8">
      <w:pPr>
        <w:autoSpaceDE w:val="0"/>
        <w:autoSpaceDN w:val="0"/>
        <w:adjustRightInd w:val="0"/>
        <w:spacing w:after="0" w:line="240" w:lineRule="auto"/>
        <w:jc w:val="center"/>
        <w:outlineLvl w:val="1"/>
        <w:rPr>
          <w:rFonts w:ascii="Times New Roman" w:hAnsi="Times New Roman" w:cs="Times New Roman"/>
          <w:b/>
          <w:bCs/>
          <w:sz w:val="24"/>
          <w:szCs w:val="24"/>
        </w:rPr>
      </w:pPr>
      <w:r w:rsidRPr="00771CA2">
        <w:rPr>
          <w:rFonts w:ascii="Times New Roman" w:hAnsi="Times New Roman" w:cs="Times New Roman"/>
          <w:b/>
          <w:bCs/>
          <w:sz w:val="24"/>
          <w:szCs w:val="24"/>
        </w:rPr>
        <w:t>Based on Unlawful Official Policy, Practice, or Custom</w:t>
      </w:r>
    </w:p>
    <w:p w14:paraId="7AEE8B41" w14:textId="77777777" w:rsidR="008156B8" w:rsidRPr="00771CA2" w:rsidRDefault="008156B8" w:rsidP="008156B8">
      <w:pPr>
        <w:autoSpaceDE w:val="0"/>
        <w:autoSpaceDN w:val="0"/>
        <w:adjustRightInd w:val="0"/>
        <w:spacing w:after="0" w:line="240" w:lineRule="auto"/>
        <w:jc w:val="center"/>
        <w:outlineLvl w:val="1"/>
        <w:rPr>
          <w:rFonts w:ascii="Times New Roman" w:hAnsi="Times New Roman" w:cs="Times New Roman"/>
          <w:b/>
          <w:bCs/>
          <w:sz w:val="24"/>
          <w:szCs w:val="24"/>
        </w:rPr>
      </w:pPr>
      <w:r w:rsidRPr="00771CA2">
        <w:rPr>
          <w:rFonts w:ascii="Times New Roman" w:hAnsi="Times New Roman" w:cs="Times New Roman"/>
          <w:b/>
          <w:bCs/>
          <w:sz w:val="24"/>
          <w:szCs w:val="24"/>
        </w:rPr>
        <w:t>—Elements and Burden of Proof</w:t>
      </w:r>
    </w:p>
    <w:p w14:paraId="2C61461C" w14:textId="77777777" w:rsidR="008156B8" w:rsidRPr="00771CA2" w:rsidRDefault="008156B8" w:rsidP="008156B8">
      <w:pPr>
        <w:spacing w:after="0" w:line="240" w:lineRule="auto"/>
        <w:rPr>
          <w:rFonts w:ascii="Times New Roman" w:hAnsi="Times New Roman"/>
          <w:sz w:val="24"/>
        </w:rPr>
      </w:pPr>
    </w:p>
    <w:p w14:paraId="768F674D"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r w:rsidRPr="00B14B34">
        <w:rPr>
          <w:rFonts w:ascii="Times New Roman" w:eastAsia="Calibri" w:hAnsi="Times New Roman" w:cs="Times New Roman"/>
          <w:sz w:val="24"/>
          <w:szCs w:val="24"/>
        </w:rPr>
        <w:tab/>
        <w:t>To prevail on the plaintiff’s § 1983 claim against defendant [</w:t>
      </w:r>
      <w:r w:rsidRPr="00B14B34">
        <w:rPr>
          <w:rFonts w:ascii="Times New Roman" w:eastAsia="Calibri" w:hAnsi="Times New Roman" w:cs="Times New Roman"/>
          <w:i/>
          <w:iCs/>
          <w:sz w:val="24"/>
          <w:szCs w:val="24"/>
          <w:u w:val="single"/>
        </w:rPr>
        <w:t>name of local governing body</w:t>
      </w:r>
      <w:r w:rsidRPr="00B14B34">
        <w:rPr>
          <w:rFonts w:ascii="Times New Roman" w:eastAsia="Calibri" w:hAnsi="Times New Roman" w:cs="Times New Roman"/>
          <w:sz w:val="24"/>
          <w:szCs w:val="24"/>
        </w:rPr>
        <w:t xml:space="preserve">] alleging liability based on an official policy, practice, or custom, the plaintiff </w:t>
      </w:r>
      <w:bookmarkStart w:id="1" w:name="_Hlk204160860"/>
      <w:r w:rsidRPr="00B14B34">
        <w:rPr>
          <w:rFonts w:ascii="Times New Roman" w:eastAsia="Calibri" w:hAnsi="Times New Roman" w:cs="Times New Roman"/>
          <w:sz w:val="24"/>
          <w:szCs w:val="24"/>
        </w:rPr>
        <w:t>[</w:t>
      </w:r>
      <w:r w:rsidRPr="00B14B34">
        <w:rPr>
          <w:rFonts w:ascii="Times New Roman" w:eastAsia="Calibri" w:hAnsi="Times New Roman" w:cs="Times New Roman"/>
          <w:i/>
          <w:iCs/>
          <w:sz w:val="24"/>
          <w:szCs w:val="24"/>
          <w:u w:val="single"/>
        </w:rPr>
        <w:t>name</w:t>
      </w:r>
      <w:r w:rsidRPr="00B14B34">
        <w:rPr>
          <w:rFonts w:ascii="Times New Roman" w:eastAsia="Calibri" w:hAnsi="Times New Roman" w:cs="Times New Roman"/>
          <w:sz w:val="24"/>
          <w:szCs w:val="24"/>
        </w:rPr>
        <w:t>]</w:t>
      </w:r>
      <w:bookmarkEnd w:id="1"/>
      <w:r w:rsidRPr="00B14B34">
        <w:rPr>
          <w:rFonts w:ascii="Times New Roman" w:eastAsia="Calibri" w:hAnsi="Times New Roman" w:cs="Times New Roman"/>
          <w:sz w:val="24"/>
          <w:szCs w:val="24"/>
        </w:rPr>
        <w:t xml:space="preserve"> must prove each of the following elements by a preponderance of the evidence:</w:t>
      </w:r>
    </w:p>
    <w:p w14:paraId="767AFBB1"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6716A5EA" w14:textId="77777777" w:rsidR="00B14B34" w:rsidRPr="00B14B34" w:rsidRDefault="00B14B34" w:rsidP="00B14B34">
      <w:pPr>
        <w:tabs>
          <w:tab w:val="left" w:pos="990"/>
        </w:tabs>
        <w:autoSpaceDE w:val="0"/>
        <w:autoSpaceDN w:val="0"/>
        <w:adjustRightInd w:val="0"/>
        <w:spacing w:after="0" w:line="240" w:lineRule="auto"/>
        <w:ind w:right="720" w:firstLine="720"/>
        <w:rPr>
          <w:rFonts w:ascii="Times New Roman" w:eastAsia="Calibri" w:hAnsi="Times New Roman" w:cs="Times New Roman"/>
          <w:sz w:val="24"/>
          <w:szCs w:val="24"/>
        </w:rPr>
      </w:pPr>
      <w:r w:rsidRPr="00B14B34">
        <w:rPr>
          <w:rFonts w:ascii="Times New Roman" w:eastAsia="Calibri" w:hAnsi="Times New Roman" w:cs="Times New Roman"/>
          <w:sz w:val="24"/>
          <w:szCs w:val="24"/>
        </w:rPr>
        <w:t>First, [</w:t>
      </w:r>
      <w:r w:rsidRPr="00B14B34">
        <w:rPr>
          <w:rFonts w:ascii="Times New Roman" w:eastAsia="Calibri" w:hAnsi="Times New Roman" w:cs="Times New Roman"/>
          <w:i/>
          <w:iCs/>
          <w:sz w:val="24"/>
          <w:szCs w:val="24"/>
          <w:u w:val="single"/>
        </w:rPr>
        <w:t>name of defendant’s official or employee</w:t>
      </w:r>
      <w:r w:rsidRPr="00B14B34">
        <w:rPr>
          <w:rFonts w:ascii="Times New Roman" w:eastAsia="Calibri" w:hAnsi="Times New Roman" w:cs="Times New Roman"/>
          <w:sz w:val="24"/>
          <w:szCs w:val="24"/>
        </w:rPr>
        <w:t>] acted under color of state law;</w:t>
      </w:r>
    </w:p>
    <w:p w14:paraId="6AE80282" w14:textId="77777777" w:rsidR="00B14B34" w:rsidRPr="00B14B34" w:rsidRDefault="00B14B34" w:rsidP="00B14B34">
      <w:pPr>
        <w:tabs>
          <w:tab w:val="left" w:pos="990"/>
        </w:tabs>
        <w:autoSpaceDE w:val="0"/>
        <w:autoSpaceDN w:val="0"/>
        <w:adjustRightInd w:val="0"/>
        <w:spacing w:after="0" w:line="240" w:lineRule="auto"/>
        <w:ind w:right="720" w:firstLine="720"/>
        <w:rPr>
          <w:rFonts w:ascii="Times New Roman" w:eastAsia="Calibri" w:hAnsi="Times New Roman" w:cs="Times New Roman"/>
          <w:sz w:val="24"/>
          <w:szCs w:val="24"/>
        </w:rPr>
      </w:pPr>
    </w:p>
    <w:p w14:paraId="61B522C5" w14:textId="77777777" w:rsidR="00B14B34" w:rsidRPr="00B14B34" w:rsidRDefault="00B14B34" w:rsidP="00B14B34">
      <w:pPr>
        <w:tabs>
          <w:tab w:val="left" w:pos="990"/>
        </w:tabs>
        <w:autoSpaceDE w:val="0"/>
        <w:autoSpaceDN w:val="0"/>
        <w:adjustRightInd w:val="0"/>
        <w:spacing w:after="0" w:line="240" w:lineRule="auto"/>
        <w:ind w:right="720" w:firstLine="720"/>
        <w:rPr>
          <w:rFonts w:ascii="Times New Roman" w:eastAsia="Calibri" w:hAnsi="Times New Roman" w:cs="Times New Roman"/>
          <w:sz w:val="24"/>
          <w:szCs w:val="24"/>
        </w:rPr>
      </w:pPr>
      <w:r w:rsidRPr="00B14B34">
        <w:rPr>
          <w:rFonts w:ascii="Times New Roman" w:eastAsia="Calibri" w:hAnsi="Times New Roman" w:cs="Times New Roman"/>
          <w:sz w:val="24"/>
          <w:szCs w:val="24"/>
        </w:rPr>
        <w:t xml:space="preserve">Second, the act[s] of </w:t>
      </w:r>
      <w:r w:rsidRPr="00B14B34">
        <w:rPr>
          <w:rFonts w:ascii="Times New Roman" w:eastAsia="Calibri" w:hAnsi="Times New Roman" w:cs="Times New Roman"/>
          <w:sz w:val="24"/>
          <w:szCs w:val="24"/>
          <w:u w:val="single"/>
        </w:rPr>
        <w:t>[</w:t>
      </w:r>
      <w:r w:rsidRPr="00B14B34">
        <w:rPr>
          <w:rFonts w:ascii="Times New Roman" w:eastAsia="Calibri" w:hAnsi="Times New Roman" w:cs="Times New Roman"/>
          <w:i/>
          <w:iCs/>
          <w:sz w:val="24"/>
          <w:szCs w:val="24"/>
          <w:u w:val="single"/>
        </w:rPr>
        <w:t>name of defendant’s official or employee</w:t>
      </w:r>
      <w:r w:rsidRPr="00B14B34">
        <w:rPr>
          <w:rFonts w:ascii="Times New Roman" w:eastAsia="Calibri" w:hAnsi="Times New Roman" w:cs="Times New Roman"/>
          <w:sz w:val="24"/>
          <w:szCs w:val="24"/>
        </w:rPr>
        <w:t>] deprived the plaintiff [</w:t>
      </w:r>
      <w:r w:rsidRPr="00B14B34">
        <w:rPr>
          <w:rFonts w:ascii="Times New Roman" w:eastAsia="Calibri" w:hAnsi="Times New Roman" w:cs="Times New Roman"/>
          <w:i/>
          <w:iCs/>
          <w:sz w:val="24"/>
          <w:szCs w:val="24"/>
          <w:u w:val="single"/>
        </w:rPr>
        <w:t>name</w:t>
      </w:r>
      <w:r w:rsidRPr="00B14B34">
        <w:rPr>
          <w:rFonts w:ascii="Times New Roman" w:eastAsia="Calibri" w:hAnsi="Times New Roman" w:cs="Times New Roman"/>
          <w:sz w:val="24"/>
          <w:szCs w:val="24"/>
        </w:rPr>
        <w:t xml:space="preserve">] of particular rights under [the laws of the United States] [the United States Constitution] as explained in later instructions; </w:t>
      </w:r>
    </w:p>
    <w:p w14:paraId="7D03CEFB" w14:textId="77777777" w:rsidR="00B14B34" w:rsidRPr="00B14B34" w:rsidRDefault="00B14B34" w:rsidP="00B14B34">
      <w:pPr>
        <w:tabs>
          <w:tab w:val="left" w:pos="990"/>
        </w:tabs>
        <w:autoSpaceDE w:val="0"/>
        <w:autoSpaceDN w:val="0"/>
        <w:adjustRightInd w:val="0"/>
        <w:spacing w:after="0" w:line="240" w:lineRule="auto"/>
        <w:ind w:right="720" w:firstLine="720"/>
        <w:rPr>
          <w:rFonts w:ascii="Times New Roman" w:eastAsia="Calibri" w:hAnsi="Times New Roman" w:cs="Times New Roman"/>
          <w:sz w:val="24"/>
          <w:szCs w:val="24"/>
        </w:rPr>
      </w:pPr>
    </w:p>
    <w:p w14:paraId="16287736" w14:textId="77777777" w:rsidR="00B14B34" w:rsidRPr="00B14B34" w:rsidRDefault="00B14B34" w:rsidP="00B14B34">
      <w:pPr>
        <w:tabs>
          <w:tab w:val="left" w:pos="990"/>
        </w:tabs>
        <w:autoSpaceDE w:val="0"/>
        <w:autoSpaceDN w:val="0"/>
        <w:adjustRightInd w:val="0"/>
        <w:spacing w:after="0" w:line="240" w:lineRule="auto"/>
        <w:ind w:right="720" w:firstLine="720"/>
        <w:rPr>
          <w:rFonts w:ascii="Times New Roman" w:eastAsia="Calibri" w:hAnsi="Times New Roman" w:cs="Times New Roman"/>
          <w:sz w:val="24"/>
          <w:szCs w:val="24"/>
        </w:rPr>
      </w:pPr>
      <w:r w:rsidRPr="00B14B34">
        <w:rPr>
          <w:rFonts w:ascii="Times New Roman" w:eastAsia="Calibri" w:hAnsi="Times New Roman" w:cs="Times New Roman"/>
          <w:sz w:val="24"/>
          <w:szCs w:val="24"/>
        </w:rPr>
        <w:t>Third, [</w:t>
      </w:r>
      <w:r w:rsidRPr="00B14B34">
        <w:rPr>
          <w:rFonts w:ascii="Times New Roman" w:eastAsia="Calibri" w:hAnsi="Times New Roman" w:cs="Times New Roman"/>
          <w:i/>
          <w:iCs/>
          <w:sz w:val="24"/>
          <w:szCs w:val="24"/>
          <w:u w:val="single"/>
        </w:rPr>
        <w:t>name of defendant’s official or employee</w:t>
      </w:r>
      <w:r w:rsidRPr="00B14B34">
        <w:rPr>
          <w:rFonts w:ascii="Times New Roman" w:eastAsia="Calibri" w:hAnsi="Times New Roman" w:cs="Times New Roman"/>
          <w:sz w:val="24"/>
          <w:szCs w:val="24"/>
        </w:rPr>
        <w:t>] acted pursuant to an expressly adopted official policy or a widespread or longstanding practice or custom of the defendant [</w:t>
      </w:r>
      <w:r w:rsidRPr="00B14B34">
        <w:rPr>
          <w:rFonts w:ascii="Times New Roman" w:eastAsia="Calibri" w:hAnsi="Times New Roman" w:cs="Times New Roman"/>
          <w:i/>
          <w:iCs/>
          <w:sz w:val="24"/>
          <w:szCs w:val="24"/>
          <w:u w:val="single"/>
        </w:rPr>
        <w:t>name of local governing body</w:t>
      </w:r>
      <w:r w:rsidRPr="00B14B34">
        <w:rPr>
          <w:rFonts w:ascii="Times New Roman" w:eastAsia="Calibri" w:hAnsi="Times New Roman" w:cs="Times New Roman"/>
          <w:sz w:val="24"/>
          <w:szCs w:val="24"/>
        </w:rPr>
        <w:t>]; and</w:t>
      </w:r>
    </w:p>
    <w:p w14:paraId="29720831" w14:textId="77777777" w:rsidR="00B14B34" w:rsidRPr="00B14B34" w:rsidRDefault="00B14B34" w:rsidP="00B14B34">
      <w:pPr>
        <w:tabs>
          <w:tab w:val="left" w:pos="990"/>
        </w:tabs>
        <w:autoSpaceDE w:val="0"/>
        <w:autoSpaceDN w:val="0"/>
        <w:adjustRightInd w:val="0"/>
        <w:spacing w:after="0" w:line="240" w:lineRule="auto"/>
        <w:ind w:right="720" w:firstLine="720"/>
        <w:rPr>
          <w:rFonts w:ascii="Times New Roman" w:eastAsia="Calibri" w:hAnsi="Times New Roman" w:cs="Times New Roman"/>
          <w:sz w:val="24"/>
          <w:szCs w:val="24"/>
        </w:rPr>
      </w:pPr>
    </w:p>
    <w:p w14:paraId="16B114C6" w14:textId="77777777" w:rsidR="00B14B34" w:rsidRPr="00B14B34" w:rsidRDefault="00B14B34" w:rsidP="00B14B34">
      <w:pPr>
        <w:tabs>
          <w:tab w:val="left" w:pos="990"/>
        </w:tabs>
        <w:autoSpaceDE w:val="0"/>
        <w:autoSpaceDN w:val="0"/>
        <w:adjustRightInd w:val="0"/>
        <w:spacing w:after="0" w:line="240" w:lineRule="auto"/>
        <w:ind w:right="720" w:firstLine="720"/>
        <w:rPr>
          <w:rFonts w:ascii="Times New Roman" w:eastAsia="Calibri" w:hAnsi="Times New Roman" w:cs="Times New Roman"/>
          <w:sz w:val="24"/>
          <w:szCs w:val="24"/>
        </w:rPr>
      </w:pPr>
      <w:r w:rsidRPr="00B14B34">
        <w:rPr>
          <w:rFonts w:ascii="Times New Roman" w:eastAsia="Calibri" w:hAnsi="Times New Roman" w:cs="Times New Roman"/>
          <w:sz w:val="24"/>
          <w:szCs w:val="24"/>
        </w:rPr>
        <w:t>Fourth, the defendant [</w:t>
      </w:r>
      <w:r w:rsidRPr="00B14B34">
        <w:rPr>
          <w:rFonts w:ascii="Times New Roman" w:eastAsia="Calibri" w:hAnsi="Times New Roman" w:cs="Times New Roman"/>
          <w:i/>
          <w:iCs/>
          <w:sz w:val="24"/>
          <w:szCs w:val="24"/>
          <w:u w:val="single"/>
        </w:rPr>
        <w:t>name of local governing body</w:t>
      </w:r>
      <w:r w:rsidRPr="00B14B34">
        <w:rPr>
          <w:rFonts w:ascii="Times New Roman" w:eastAsia="Calibri" w:hAnsi="Times New Roman" w:cs="Times New Roman"/>
          <w:sz w:val="24"/>
          <w:szCs w:val="24"/>
        </w:rPr>
        <w:t>]’s official policy or widespread or longstanding practice or custom caused the deprivation of the plaintiff [</w:t>
      </w:r>
      <w:r w:rsidRPr="00B14B34">
        <w:rPr>
          <w:rFonts w:ascii="Times New Roman" w:eastAsia="Calibri" w:hAnsi="Times New Roman" w:cs="Times New Roman"/>
          <w:i/>
          <w:iCs/>
          <w:sz w:val="24"/>
          <w:szCs w:val="24"/>
          <w:u w:val="single"/>
        </w:rPr>
        <w:t>name</w:t>
      </w:r>
      <w:r w:rsidRPr="00B14B34">
        <w:rPr>
          <w:rFonts w:ascii="Times New Roman" w:eastAsia="Calibri" w:hAnsi="Times New Roman" w:cs="Times New Roman"/>
          <w:sz w:val="24"/>
          <w:szCs w:val="24"/>
        </w:rPr>
        <w:t>]’s rights by the [</w:t>
      </w:r>
      <w:r w:rsidRPr="00B14B34">
        <w:rPr>
          <w:rFonts w:ascii="Times New Roman" w:eastAsia="Calibri" w:hAnsi="Times New Roman" w:cs="Times New Roman"/>
          <w:i/>
          <w:iCs/>
          <w:sz w:val="24"/>
          <w:szCs w:val="24"/>
          <w:u w:val="single"/>
        </w:rPr>
        <w:t>name of defendant’s official or employee</w:t>
      </w:r>
      <w:r w:rsidRPr="00B14B34">
        <w:rPr>
          <w:rFonts w:ascii="Times New Roman" w:eastAsia="Calibri" w:hAnsi="Times New Roman" w:cs="Times New Roman"/>
          <w:sz w:val="24"/>
          <w:szCs w:val="24"/>
        </w:rPr>
        <w:t>]; that is, the [</w:t>
      </w:r>
      <w:r w:rsidRPr="00B14B34">
        <w:rPr>
          <w:rFonts w:ascii="Times New Roman" w:eastAsia="Calibri" w:hAnsi="Times New Roman" w:cs="Times New Roman"/>
          <w:i/>
          <w:iCs/>
          <w:sz w:val="24"/>
          <w:szCs w:val="24"/>
          <w:u w:val="single"/>
        </w:rPr>
        <w:t>name of local governing body</w:t>
      </w:r>
      <w:r w:rsidRPr="00B14B34">
        <w:rPr>
          <w:rFonts w:ascii="Times New Roman" w:eastAsia="Calibri" w:hAnsi="Times New Roman" w:cs="Times New Roman"/>
          <w:sz w:val="24"/>
          <w:szCs w:val="24"/>
        </w:rPr>
        <w:t>]’s official policy or widespread or longstanding practice or custom is so closely related to the deprivation of the plaintiff [</w:t>
      </w:r>
      <w:r w:rsidRPr="00B14B34">
        <w:rPr>
          <w:rFonts w:ascii="Times New Roman" w:eastAsia="Calibri" w:hAnsi="Times New Roman" w:cs="Times New Roman"/>
          <w:i/>
          <w:iCs/>
          <w:sz w:val="24"/>
          <w:szCs w:val="24"/>
          <w:u w:val="single"/>
        </w:rPr>
        <w:t>name</w:t>
      </w:r>
      <w:r w:rsidRPr="00B14B34">
        <w:rPr>
          <w:rFonts w:ascii="Times New Roman" w:eastAsia="Calibri" w:hAnsi="Times New Roman" w:cs="Times New Roman"/>
          <w:sz w:val="24"/>
          <w:szCs w:val="24"/>
        </w:rPr>
        <w:t>]’s rights as to be the moving force that caused the ultimate injury</w:t>
      </w:r>
      <w:r w:rsidRPr="00B14B34">
        <w:rPr>
          <w:rFonts w:ascii="Times New Roman" w:eastAsia="Calibri" w:hAnsi="Times New Roman" w:cs="Times New Roman"/>
          <w:i/>
          <w:iCs/>
          <w:sz w:val="24"/>
          <w:szCs w:val="24"/>
        </w:rPr>
        <w:t>.</w:t>
      </w:r>
    </w:p>
    <w:p w14:paraId="2276A2A9"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3C4ADFBF"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r w:rsidRPr="00B14B34">
        <w:rPr>
          <w:rFonts w:ascii="Times New Roman" w:eastAsia="Calibri" w:hAnsi="Times New Roman" w:cs="Times New Roman"/>
          <w:sz w:val="24"/>
          <w:szCs w:val="24"/>
        </w:rPr>
        <w:tab/>
        <w:t>A person acts “under color of state law” when the person acts or purports to act in the performance of official duties under any state, county, or municipal law, ordinance or regulation. [[The parties have stipulated that] [I instruct you that] [</w:t>
      </w:r>
      <w:r w:rsidRPr="00B14B34">
        <w:rPr>
          <w:rFonts w:ascii="Times New Roman" w:eastAsia="Calibri" w:hAnsi="Times New Roman" w:cs="Times New Roman"/>
          <w:i/>
          <w:iCs/>
          <w:sz w:val="24"/>
          <w:szCs w:val="24"/>
          <w:u w:val="single"/>
        </w:rPr>
        <w:t>name of defendant’s official or employee</w:t>
      </w:r>
      <w:r w:rsidRPr="00B14B34">
        <w:rPr>
          <w:rFonts w:ascii="Times New Roman" w:eastAsia="Calibri" w:hAnsi="Times New Roman" w:cs="Times New Roman"/>
          <w:sz w:val="24"/>
          <w:szCs w:val="24"/>
        </w:rPr>
        <w:t>] acted under color of state law.]</w:t>
      </w:r>
    </w:p>
    <w:p w14:paraId="1F767EA0"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b/>
          <w:bCs/>
          <w:sz w:val="24"/>
          <w:szCs w:val="24"/>
        </w:rPr>
      </w:pPr>
    </w:p>
    <w:p w14:paraId="1FE48A9B"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r w:rsidRPr="00B14B34">
        <w:rPr>
          <w:rFonts w:ascii="Times New Roman" w:eastAsia="Calibri" w:hAnsi="Times New Roman" w:cs="Times New Roman"/>
          <w:sz w:val="24"/>
          <w:szCs w:val="24"/>
        </w:rPr>
        <w:tab/>
        <w:t>“Official policy” means a formal policy, such as a rule or regulation adopted by the defendant [</w:t>
      </w:r>
      <w:r w:rsidRPr="00B14B34">
        <w:rPr>
          <w:rFonts w:ascii="Times New Roman" w:eastAsia="Calibri" w:hAnsi="Times New Roman" w:cs="Times New Roman"/>
          <w:i/>
          <w:iCs/>
          <w:sz w:val="24"/>
          <w:szCs w:val="24"/>
          <w:u w:val="single"/>
        </w:rPr>
        <w:t>name of local governing body</w:t>
      </w:r>
      <w:r w:rsidRPr="00B14B34">
        <w:rPr>
          <w:rFonts w:ascii="Times New Roman" w:eastAsia="Calibri" w:hAnsi="Times New Roman" w:cs="Times New Roman"/>
          <w:sz w:val="24"/>
          <w:szCs w:val="24"/>
        </w:rPr>
        <w:t>], resulting from a deliberate choice to follow a course of action made from among various alternatives by the official or officials responsible for establishing final policy with respect to the subject matter in question.</w:t>
      </w:r>
    </w:p>
    <w:p w14:paraId="1DA624EB"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09E2FF3A"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r w:rsidRPr="00B14B34">
        <w:rPr>
          <w:rFonts w:ascii="Times New Roman" w:eastAsia="Calibri" w:hAnsi="Times New Roman" w:cs="Times New Roman"/>
          <w:sz w:val="24"/>
          <w:szCs w:val="24"/>
        </w:rPr>
        <w:tab/>
        <w:t>“Practice or custom” means any longstanding, widespread, or well-settled practice or custom that constitutes a standard operating procedure of the defendant [</w:t>
      </w:r>
      <w:r w:rsidRPr="00B14B34">
        <w:rPr>
          <w:rFonts w:ascii="Times New Roman" w:eastAsia="Calibri" w:hAnsi="Times New Roman" w:cs="Times New Roman"/>
          <w:i/>
          <w:iCs/>
          <w:sz w:val="24"/>
          <w:szCs w:val="24"/>
          <w:u w:val="single"/>
        </w:rPr>
        <w:t>name of local governing body</w:t>
      </w:r>
      <w:r w:rsidRPr="00B14B34">
        <w:rPr>
          <w:rFonts w:ascii="Times New Roman" w:eastAsia="Calibri" w:hAnsi="Times New Roman" w:cs="Times New Roman"/>
          <w:sz w:val="24"/>
          <w:szCs w:val="24"/>
        </w:rPr>
        <w:t>]. [A practice or custom can be established by repeated constitutional violations that were not properly investigated and for which the violator[s] [was] [were] not disciplined, reprimanded or punished.]</w:t>
      </w:r>
    </w:p>
    <w:p w14:paraId="6465FBDB"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377BEBB5"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r w:rsidRPr="00B14B34">
        <w:rPr>
          <w:rFonts w:ascii="Times New Roman" w:eastAsia="Calibri" w:hAnsi="Times New Roman" w:cs="Times New Roman"/>
          <w:sz w:val="24"/>
          <w:szCs w:val="24"/>
        </w:rPr>
        <w:tab/>
        <w:t>If you find that the plaintiff [</w:t>
      </w:r>
      <w:r w:rsidRPr="00B14B34">
        <w:rPr>
          <w:rFonts w:ascii="Times New Roman" w:eastAsia="Calibri" w:hAnsi="Times New Roman" w:cs="Times New Roman"/>
          <w:i/>
          <w:iCs/>
          <w:sz w:val="24"/>
          <w:szCs w:val="24"/>
          <w:u w:val="single"/>
        </w:rPr>
        <w:t>name</w:t>
      </w:r>
      <w:r w:rsidRPr="00B14B34">
        <w:rPr>
          <w:rFonts w:ascii="Times New Roman" w:eastAsia="Calibri" w:hAnsi="Times New Roman" w:cs="Times New Roman"/>
          <w:sz w:val="24"/>
          <w:szCs w:val="24"/>
        </w:rPr>
        <w:t>] has proved each of these elements, and if you find that the plaintiff [</w:t>
      </w:r>
      <w:r w:rsidRPr="00B14B34">
        <w:rPr>
          <w:rFonts w:ascii="Times New Roman" w:eastAsia="Calibri" w:hAnsi="Times New Roman" w:cs="Times New Roman"/>
          <w:i/>
          <w:iCs/>
          <w:sz w:val="24"/>
          <w:szCs w:val="24"/>
          <w:u w:val="single"/>
        </w:rPr>
        <w:t>name</w:t>
      </w:r>
      <w:r w:rsidRPr="00B14B34">
        <w:rPr>
          <w:rFonts w:ascii="Times New Roman" w:eastAsia="Calibri" w:hAnsi="Times New Roman" w:cs="Times New Roman"/>
          <w:sz w:val="24"/>
          <w:szCs w:val="24"/>
        </w:rPr>
        <w:t>] has proved all the elements the plaintiff [</w:t>
      </w:r>
      <w:r w:rsidRPr="00B14B34">
        <w:rPr>
          <w:rFonts w:ascii="Times New Roman" w:eastAsia="Calibri" w:hAnsi="Times New Roman" w:cs="Times New Roman"/>
          <w:i/>
          <w:iCs/>
          <w:sz w:val="24"/>
          <w:szCs w:val="24"/>
          <w:u w:val="single"/>
        </w:rPr>
        <w:t>name</w:t>
      </w:r>
      <w:r w:rsidRPr="00B14B34">
        <w:rPr>
          <w:rFonts w:ascii="Times New Roman" w:eastAsia="Calibri" w:hAnsi="Times New Roman" w:cs="Times New Roman"/>
          <w:sz w:val="24"/>
          <w:szCs w:val="24"/>
        </w:rPr>
        <w:t>] is required to prove under Instruction[s] [</w:t>
      </w:r>
      <w:r w:rsidRPr="00B14B34">
        <w:rPr>
          <w:rFonts w:ascii="Times New Roman" w:eastAsia="Calibri" w:hAnsi="Times New Roman" w:cs="Times New Roman"/>
          <w:i/>
          <w:iCs/>
          <w:sz w:val="24"/>
          <w:szCs w:val="24"/>
          <w:u w:val="single"/>
        </w:rPr>
        <w:t>specify the instruction[s] that deal with the particular right[s]</w:t>
      </w:r>
      <w:r w:rsidRPr="00B14B34">
        <w:rPr>
          <w:rFonts w:ascii="Times New Roman" w:eastAsia="Calibri" w:hAnsi="Times New Roman" w:cs="Times New Roman"/>
          <w:sz w:val="24"/>
          <w:szCs w:val="24"/>
        </w:rPr>
        <w:t>], your verdict should be for the plaintiff [</w:t>
      </w:r>
      <w:r w:rsidRPr="00B14B34">
        <w:rPr>
          <w:rFonts w:ascii="Times New Roman" w:eastAsia="Calibri" w:hAnsi="Times New Roman" w:cs="Times New Roman"/>
          <w:i/>
          <w:iCs/>
          <w:sz w:val="24"/>
          <w:szCs w:val="24"/>
          <w:u w:val="single"/>
        </w:rPr>
        <w:t>name</w:t>
      </w:r>
      <w:r w:rsidRPr="00B14B34">
        <w:rPr>
          <w:rFonts w:ascii="Times New Roman" w:eastAsia="Calibri" w:hAnsi="Times New Roman" w:cs="Times New Roman"/>
          <w:sz w:val="24"/>
          <w:szCs w:val="24"/>
        </w:rPr>
        <w:t>]. If, on the other hand, you find that the plaintiff [</w:t>
      </w:r>
      <w:r w:rsidRPr="00B14B34">
        <w:rPr>
          <w:rFonts w:ascii="Times New Roman" w:eastAsia="Calibri" w:hAnsi="Times New Roman" w:cs="Times New Roman"/>
          <w:i/>
          <w:iCs/>
          <w:sz w:val="24"/>
          <w:szCs w:val="24"/>
          <w:u w:val="single"/>
        </w:rPr>
        <w:t>name</w:t>
      </w:r>
      <w:r w:rsidRPr="00B14B34">
        <w:rPr>
          <w:rFonts w:ascii="Times New Roman" w:eastAsia="Calibri" w:hAnsi="Times New Roman" w:cs="Times New Roman"/>
          <w:sz w:val="24"/>
          <w:szCs w:val="24"/>
        </w:rPr>
        <w:t xml:space="preserve">] </w:t>
      </w:r>
      <w:r w:rsidRPr="00B14B34">
        <w:rPr>
          <w:rFonts w:ascii="Times New Roman" w:eastAsia="Calibri" w:hAnsi="Times New Roman" w:cs="Times New Roman"/>
          <w:sz w:val="24"/>
          <w:szCs w:val="24"/>
        </w:rPr>
        <w:lastRenderedPageBreak/>
        <w:t>has failed to prove any one or more of these elements, your verdict should be for the defendant [</w:t>
      </w:r>
      <w:r w:rsidRPr="00B14B34">
        <w:rPr>
          <w:rFonts w:ascii="Times New Roman" w:eastAsia="Calibri" w:hAnsi="Times New Roman" w:cs="Times New Roman"/>
          <w:i/>
          <w:iCs/>
          <w:sz w:val="24"/>
          <w:szCs w:val="24"/>
          <w:u w:val="single"/>
        </w:rPr>
        <w:t>name of local governing body</w:t>
      </w:r>
      <w:r w:rsidRPr="00B14B34">
        <w:rPr>
          <w:rFonts w:ascii="Times New Roman" w:eastAsia="Calibri" w:hAnsi="Times New Roman" w:cs="Times New Roman"/>
          <w:sz w:val="24"/>
          <w:szCs w:val="24"/>
        </w:rPr>
        <w:t>].</w:t>
      </w:r>
    </w:p>
    <w:p w14:paraId="280E4EDB"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47F3E1B4" w14:textId="77777777" w:rsidR="00B14B34" w:rsidRPr="00B14B34" w:rsidRDefault="00B14B34" w:rsidP="00B14B34">
      <w:pPr>
        <w:autoSpaceDE w:val="0"/>
        <w:autoSpaceDN w:val="0"/>
        <w:adjustRightInd w:val="0"/>
        <w:spacing w:after="0" w:line="240" w:lineRule="auto"/>
        <w:jc w:val="center"/>
        <w:rPr>
          <w:rFonts w:ascii="Times New Roman" w:eastAsia="Calibri" w:hAnsi="Times New Roman" w:cs="Times New Roman"/>
          <w:sz w:val="24"/>
          <w:szCs w:val="24"/>
        </w:rPr>
      </w:pPr>
      <w:r w:rsidRPr="00B14B34">
        <w:rPr>
          <w:rFonts w:ascii="Times New Roman" w:eastAsia="Calibri" w:hAnsi="Times New Roman" w:cs="Times New Roman"/>
          <w:b/>
          <w:bCs/>
          <w:sz w:val="24"/>
          <w:szCs w:val="24"/>
        </w:rPr>
        <w:t>Comment</w:t>
      </w:r>
    </w:p>
    <w:p w14:paraId="72268E6E"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4C32FC35"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r w:rsidRPr="00B14B34">
        <w:rPr>
          <w:rFonts w:ascii="Times New Roman" w:eastAsia="Calibri" w:hAnsi="Times New Roman" w:cs="Times New Roman"/>
          <w:sz w:val="24"/>
          <w:szCs w:val="24"/>
        </w:rPr>
        <w:tab/>
        <w:t xml:space="preserve">Use this instruction only in conjunction with an applicable “particular rights” instruction, such as Instructions 9.9-9.38. Such an instruction should set forth the additional elements a plaintiff must establish to prove the violation of the particular constitutional right or federal law at issue. </w:t>
      </w:r>
    </w:p>
    <w:p w14:paraId="5B026CF8"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071B5FA2"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r w:rsidRPr="00B14B34">
        <w:rPr>
          <w:rFonts w:ascii="Times New Roman" w:eastAsia="Calibri" w:hAnsi="Times New Roman" w:cs="Times New Roman"/>
          <w:sz w:val="24"/>
          <w:szCs w:val="24"/>
        </w:rPr>
        <w:tab/>
        <w:t xml:space="preserve">In addition, use this instruction only when </w:t>
      </w:r>
      <w:r w:rsidRPr="00B14B34">
        <w:rPr>
          <w:rFonts w:ascii="Times New Roman" w:eastAsia="Calibri" w:hAnsi="Times New Roman" w:cs="Times New Roman"/>
          <w:i/>
          <w:iCs/>
          <w:sz w:val="24"/>
          <w:szCs w:val="24"/>
        </w:rPr>
        <w:t>Monell</w:t>
      </w:r>
      <w:r w:rsidRPr="00B14B34">
        <w:rPr>
          <w:rFonts w:ascii="Times New Roman" w:eastAsia="Calibri" w:hAnsi="Times New Roman" w:cs="Times New Roman"/>
          <w:sz w:val="24"/>
          <w:szCs w:val="24"/>
        </w:rPr>
        <w:t xml:space="preserve"> liability is based on an expressly adopted official policy or a widespread or longstanding practice or custom of the defendant that is alleged either to be itself unlawful or to direct employees to act in an unlawful manner.</w:t>
      </w:r>
      <w:r w:rsidRPr="00B14B34">
        <w:rPr>
          <w:rFonts w:ascii="Times New Roman" w:eastAsia="Calibri" w:hAnsi="Times New Roman" w:cs="Times New Roman"/>
          <w:i/>
          <w:iCs/>
          <w:sz w:val="24"/>
          <w:szCs w:val="24"/>
        </w:rPr>
        <w:t xml:space="preserve"> See, e.g.</w:t>
      </w:r>
      <w:r w:rsidRPr="00B14B34">
        <w:rPr>
          <w:rFonts w:ascii="Times New Roman" w:eastAsia="Calibri" w:hAnsi="Times New Roman" w:cs="Times New Roman"/>
          <w:sz w:val="24"/>
          <w:szCs w:val="24"/>
        </w:rPr>
        <w:t>,</w:t>
      </w:r>
      <w:r w:rsidRPr="00B14B34">
        <w:rPr>
          <w:rFonts w:ascii="Times New Roman" w:eastAsia="Calibri" w:hAnsi="Times New Roman" w:cs="Times New Roman"/>
          <w:i/>
          <w:iCs/>
          <w:sz w:val="24"/>
          <w:szCs w:val="24"/>
        </w:rPr>
        <w:t xml:space="preserve"> Endy v. County of Los Angeles</w:t>
      </w:r>
      <w:r w:rsidRPr="00B14B34">
        <w:rPr>
          <w:rFonts w:ascii="Times New Roman" w:eastAsia="Calibri" w:hAnsi="Times New Roman" w:cs="Times New Roman"/>
          <w:sz w:val="24"/>
          <w:szCs w:val="24"/>
        </w:rPr>
        <w:t xml:space="preserve">, 975 F.3d 757, 769 (9th Cir. 2020); </w:t>
      </w:r>
      <w:r w:rsidRPr="00B14B34">
        <w:rPr>
          <w:rFonts w:ascii="Times New Roman" w:eastAsia="Calibri" w:hAnsi="Times New Roman" w:cs="Times New Roman"/>
          <w:i/>
          <w:iCs/>
          <w:sz w:val="24"/>
          <w:szCs w:val="24"/>
        </w:rPr>
        <w:t>Jackson v. Barnes</w:t>
      </w:r>
      <w:r w:rsidRPr="00B14B34">
        <w:rPr>
          <w:rFonts w:ascii="Times New Roman" w:eastAsia="Calibri" w:hAnsi="Times New Roman" w:cs="Times New Roman"/>
          <w:sz w:val="24"/>
          <w:szCs w:val="24"/>
        </w:rPr>
        <w:t xml:space="preserve">, 749 F.3d 755, 763 (9th Cir. 2014). For other bases of </w:t>
      </w:r>
      <w:r w:rsidRPr="00B14B34">
        <w:rPr>
          <w:rFonts w:ascii="Times New Roman" w:eastAsia="Calibri" w:hAnsi="Times New Roman" w:cs="Times New Roman"/>
          <w:i/>
          <w:iCs/>
          <w:sz w:val="24"/>
          <w:szCs w:val="24"/>
        </w:rPr>
        <w:t xml:space="preserve">Monell </w:t>
      </w:r>
      <w:r w:rsidRPr="00B14B34">
        <w:rPr>
          <w:rFonts w:ascii="Times New Roman" w:eastAsia="Calibri" w:hAnsi="Times New Roman" w:cs="Times New Roman"/>
          <w:sz w:val="24"/>
          <w:szCs w:val="24"/>
        </w:rPr>
        <w:t>liability, see Instructions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Failure to Prevent Violations of Law or a Failure to Train—Elements and Burden of Proof).</w:t>
      </w:r>
      <w:r w:rsidRPr="00B14B34">
        <w:rPr>
          <w:rFonts w:ascii="Times New Roman" w:eastAsia="Calibri" w:hAnsi="Times New Roman" w:cs="Times New Roman"/>
          <w:i/>
          <w:iCs/>
          <w:sz w:val="24"/>
          <w:szCs w:val="24"/>
        </w:rPr>
        <w:t xml:space="preserve"> </w:t>
      </w:r>
    </w:p>
    <w:p w14:paraId="40306ECB"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1D172A47"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r w:rsidRPr="00B14B34">
        <w:rPr>
          <w:rFonts w:ascii="Times New Roman" w:eastAsia="Calibri" w:hAnsi="Times New Roman" w:cs="Times New Roman"/>
          <w:sz w:val="24"/>
          <w:szCs w:val="24"/>
        </w:rPr>
        <w:tab/>
        <w:t xml:space="preserve">As noted in the Introductory Comment to this chapter, § 1983 liability of a local governing body may not be based on </w:t>
      </w:r>
      <w:r w:rsidRPr="00B14B34">
        <w:rPr>
          <w:rFonts w:ascii="Times New Roman" w:eastAsia="Calibri" w:hAnsi="Times New Roman" w:cs="Times New Roman"/>
          <w:i/>
          <w:iCs/>
          <w:sz w:val="24"/>
          <w:szCs w:val="24"/>
        </w:rPr>
        <w:t>respondeat</w:t>
      </w:r>
      <w:r w:rsidRPr="00B14B34">
        <w:rPr>
          <w:rFonts w:ascii="Times New Roman" w:eastAsia="Calibri" w:hAnsi="Times New Roman" w:cs="Times New Roman"/>
          <w:sz w:val="24"/>
          <w:szCs w:val="24"/>
        </w:rPr>
        <w:t xml:space="preserve"> </w:t>
      </w:r>
      <w:r w:rsidRPr="00B14B34">
        <w:rPr>
          <w:rFonts w:ascii="Times New Roman" w:eastAsia="Calibri" w:hAnsi="Times New Roman" w:cs="Times New Roman"/>
          <w:i/>
          <w:iCs/>
          <w:sz w:val="24"/>
          <w:szCs w:val="24"/>
        </w:rPr>
        <w:t>superior</w:t>
      </w:r>
      <w:r w:rsidRPr="00B14B34">
        <w:rPr>
          <w:rFonts w:ascii="Times New Roman" w:eastAsia="Calibri" w:hAnsi="Times New Roman" w:cs="Times New Roman"/>
          <w:sz w:val="24"/>
          <w:szCs w:val="24"/>
        </w:rPr>
        <w:t xml:space="preserve">. </w:t>
      </w:r>
      <w:r w:rsidRPr="00B14B34">
        <w:rPr>
          <w:rFonts w:ascii="Times New Roman" w:eastAsia="Calibri" w:hAnsi="Times New Roman" w:cs="Times New Roman"/>
          <w:i/>
          <w:iCs/>
          <w:sz w:val="24"/>
          <w:szCs w:val="24"/>
        </w:rPr>
        <w:t>Monell v. Dep’t of Soc. Servs. of N.Y.</w:t>
      </w:r>
      <w:r w:rsidRPr="00B14B34">
        <w:rPr>
          <w:rFonts w:ascii="Times New Roman" w:eastAsia="Calibri" w:hAnsi="Times New Roman" w:cs="Times New Roman"/>
          <w:sz w:val="24"/>
          <w:szCs w:val="24"/>
        </w:rPr>
        <w:t xml:space="preserve">, 436 U.S. 658, 691 (1978). Such liability may attach when an employee committed a constitutional violation pursuant to an expressly adopted official policy. </w:t>
      </w:r>
      <w:r w:rsidRPr="00B14B34">
        <w:rPr>
          <w:rFonts w:ascii="Times New Roman" w:eastAsia="Calibri" w:hAnsi="Times New Roman" w:cs="Times New Roman"/>
          <w:i/>
          <w:iCs/>
          <w:sz w:val="24"/>
          <w:szCs w:val="24"/>
        </w:rPr>
        <w:t>Ellins v. City of Sierra Madre</w:t>
      </w:r>
      <w:r w:rsidRPr="00B14B34">
        <w:rPr>
          <w:rFonts w:ascii="Times New Roman" w:eastAsia="Calibri" w:hAnsi="Times New Roman" w:cs="Times New Roman"/>
          <w:sz w:val="24"/>
          <w:szCs w:val="24"/>
        </w:rPr>
        <w:t xml:space="preserve">, 710 F.3d 1049, 1066 (9th Cir. 2013). “Official municipal policy includes the decisions of a government’s lawmakers, the acts of its policymaking officials, and practices so persistent and widespread as to practically have the force of law.” </w:t>
      </w:r>
      <w:r w:rsidRPr="00B14B34">
        <w:rPr>
          <w:rFonts w:ascii="Times New Roman" w:eastAsia="Calibri" w:hAnsi="Times New Roman" w:cs="Times New Roman"/>
          <w:i/>
          <w:iCs/>
          <w:sz w:val="24"/>
          <w:szCs w:val="24"/>
        </w:rPr>
        <w:t>Endy</w:t>
      </w:r>
      <w:r w:rsidRPr="00B14B34">
        <w:rPr>
          <w:rFonts w:ascii="Times New Roman" w:eastAsia="Calibri" w:hAnsi="Times New Roman" w:cs="Times New Roman"/>
          <w:sz w:val="24"/>
          <w:szCs w:val="24"/>
        </w:rPr>
        <w:t xml:space="preserve">, 975 F.3d at 769 (quoting </w:t>
      </w:r>
      <w:r w:rsidRPr="00B14B34">
        <w:rPr>
          <w:rFonts w:ascii="Times New Roman" w:eastAsia="Calibri" w:hAnsi="Times New Roman" w:cs="Times New Roman"/>
          <w:i/>
          <w:iCs/>
          <w:sz w:val="24"/>
          <w:szCs w:val="24"/>
        </w:rPr>
        <w:t>Connick v. Thompson</w:t>
      </w:r>
      <w:r w:rsidRPr="00B14B34">
        <w:rPr>
          <w:rFonts w:ascii="Times New Roman" w:eastAsia="Calibri" w:hAnsi="Times New Roman" w:cs="Times New Roman"/>
          <w:sz w:val="24"/>
          <w:szCs w:val="24"/>
        </w:rPr>
        <w:t xml:space="preserve">, 563 U.S. 51, 61 (2011)). “[A] rule or regulation promulgated, adopted, or ratified by a local governmental entity’s legislative body unquestionably satisfies </w:t>
      </w:r>
      <w:r w:rsidRPr="00B14B34">
        <w:rPr>
          <w:rFonts w:ascii="Times New Roman" w:eastAsia="Calibri" w:hAnsi="Times New Roman" w:cs="Times New Roman"/>
          <w:i/>
          <w:iCs/>
          <w:sz w:val="24"/>
          <w:szCs w:val="24"/>
        </w:rPr>
        <w:t>Monell</w:t>
      </w:r>
      <w:r w:rsidRPr="00B14B34">
        <w:rPr>
          <w:rFonts w:ascii="Times New Roman" w:eastAsia="Calibri" w:hAnsi="Times New Roman" w:cs="Times New Roman"/>
          <w:sz w:val="24"/>
          <w:szCs w:val="24"/>
        </w:rPr>
        <w:t>’s policy requirement[.]” Thompson</w:t>
      </w:r>
      <w:r w:rsidRPr="00B14B34">
        <w:rPr>
          <w:rFonts w:ascii="Times New Roman" w:eastAsia="Calibri" w:hAnsi="Times New Roman" w:cs="Times New Roman"/>
          <w:i/>
          <w:iCs/>
          <w:sz w:val="24"/>
          <w:szCs w:val="24"/>
        </w:rPr>
        <w:t xml:space="preserve"> v. City of Los Angeles</w:t>
      </w:r>
      <w:r w:rsidRPr="00B14B34">
        <w:rPr>
          <w:rFonts w:ascii="Times New Roman" w:eastAsia="Calibri" w:hAnsi="Times New Roman" w:cs="Times New Roman"/>
          <w:sz w:val="24"/>
          <w:szCs w:val="24"/>
        </w:rPr>
        <w:t xml:space="preserve">, 885 F.2d 1439, 1443 (9th Cir. 1989), </w:t>
      </w:r>
      <w:r w:rsidRPr="00B14B34">
        <w:rPr>
          <w:rFonts w:ascii="Times New Roman" w:eastAsia="Calibri" w:hAnsi="Times New Roman" w:cs="Times New Roman"/>
          <w:i/>
          <w:iCs/>
          <w:sz w:val="24"/>
          <w:szCs w:val="24"/>
        </w:rPr>
        <w:t>overruled on other grounds by Bull v. City &amp; County of San Francisco</w:t>
      </w:r>
      <w:r w:rsidRPr="00B14B34">
        <w:rPr>
          <w:rFonts w:ascii="Times New Roman" w:eastAsia="Calibri" w:hAnsi="Times New Roman" w:cs="Times New Roman"/>
          <w:sz w:val="24"/>
          <w:szCs w:val="24"/>
        </w:rPr>
        <w:t xml:space="preserve">, 595 F.3d 964 (9th Cir. 2010) (en banc). Whether a municipal policy or custom exists is a question of fact. </w:t>
      </w:r>
      <w:r w:rsidRPr="00B14B34">
        <w:rPr>
          <w:rFonts w:ascii="Times New Roman" w:eastAsia="Calibri" w:hAnsi="Times New Roman" w:cs="Times New Roman"/>
          <w:i/>
          <w:iCs/>
          <w:sz w:val="24"/>
          <w:szCs w:val="24"/>
        </w:rPr>
        <w:t>Trevino v. Gates</w:t>
      </w:r>
      <w:r w:rsidRPr="00B14B34">
        <w:rPr>
          <w:rFonts w:ascii="Times New Roman" w:eastAsia="Calibri" w:hAnsi="Times New Roman" w:cs="Times New Roman"/>
          <w:sz w:val="24"/>
          <w:szCs w:val="24"/>
        </w:rPr>
        <w:t xml:space="preserve">, 99 F.3d 911, 920 (9th Cir. 1996) (“Normally, the question of whether a policy or custom exists would be a jury question. However, when there are no genuine issues of material fact and the plaintiff has failed to establish a prima facie case, disposition by summary judgment is appropriate.”).  </w:t>
      </w:r>
    </w:p>
    <w:p w14:paraId="1CBDB90A"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357086E8" w14:textId="77777777" w:rsidR="00B14B34" w:rsidRPr="00B14B34" w:rsidRDefault="00B14B34" w:rsidP="00B14B34">
      <w:pPr>
        <w:autoSpaceDE w:val="0"/>
        <w:autoSpaceDN w:val="0"/>
        <w:adjustRightInd w:val="0"/>
        <w:spacing w:after="0" w:line="240" w:lineRule="auto"/>
        <w:ind w:firstLine="720"/>
        <w:rPr>
          <w:rFonts w:ascii="Times New Roman" w:eastAsia="Calibri" w:hAnsi="Times New Roman" w:cs="Times New Roman"/>
          <w:sz w:val="24"/>
          <w:szCs w:val="24"/>
        </w:rPr>
      </w:pPr>
      <w:r w:rsidRPr="00B14B34">
        <w:rPr>
          <w:rFonts w:ascii="Times New Roman" w:eastAsia="Calibri" w:hAnsi="Times New Roman" w:cs="Times New Roman"/>
          <w:sz w:val="24"/>
          <w:szCs w:val="24"/>
        </w:rPr>
        <w:t xml:space="preserve">“Official policy” means a formal policy, such as a rule or regulation adopted by the defendant, resulting from a deliberate choice to follow a course of action made from among various alternatives by the official or officials responsible for establishing final policy with respect to the subject matter in question. </w:t>
      </w:r>
      <w:r w:rsidRPr="00B14B34">
        <w:rPr>
          <w:rFonts w:ascii="Times New Roman" w:eastAsia="Calibri" w:hAnsi="Times New Roman" w:cs="Times New Roman"/>
          <w:i/>
          <w:iCs/>
          <w:sz w:val="24"/>
          <w:szCs w:val="24"/>
        </w:rPr>
        <w:t>Pembaur v. City of Cincinnati</w:t>
      </w:r>
      <w:r w:rsidRPr="00B14B34">
        <w:rPr>
          <w:rFonts w:ascii="Times New Roman" w:eastAsia="Calibri" w:hAnsi="Times New Roman" w:cs="Times New Roman"/>
          <w:sz w:val="24"/>
          <w:szCs w:val="24"/>
        </w:rPr>
        <w:t xml:space="preserve">, 475 U.S. 469, 483-84 (1986); </w:t>
      </w:r>
      <w:r w:rsidRPr="00B14B34">
        <w:rPr>
          <w:rFonts w:ascii="Times New Roman" w:eastAsia="Calibri" w:hAnsi="Times New Roman" w:cs="Times New Roman"/>
          <w:i/>
          <w:iCs/>
          <w:sz w:val="24"/>
          <w:szCs w:val="24"/>
        </w:rPr>
        <w:t>accord Benavidez v. Cnty. of San Diego</w:t>
      </w:r>
      <w:r w:rsidRPr="00B14B34">
        <w:rPr>
          <w:rFonts w:ascii="Times New Roman" w:eastAsia="Calibri" w:hAnsi="Times New Roman" w:cs="Times New Roman"/>
          <w:sz w:val="24"/>
          <w:szCs w:val="24"/>
        </w:rPr>
        <w:t xml:space="preserve">, 993 F.3d 1134, 1153 (9th Cir. 2021).  </w:t>
      </w:r>
    </w:p>
    <w:p w14:paraId="38F436B1"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0BE2F7ED"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r w:rsidRPr="00B14B34">
        <w:rPr>
          <w:rFonts w:ascii="Times New Roman" w:eastAsia="Calibri" w:hAnsi="Times New Roman" w:cs="Times New Roman"/>
          <w:sz w:val="24"/>
          <w:szCs w:val="24"/>
        </w:rPr>
        <w:tab/>
        <w:t xml:space="preserve">Such liability may also attach when an employee committed a constitutional violation pursuant to a widespread practice or custom. </w:t>
      </w:r>
      <w:r w:rsidRPr="00B14B34">
        <w:rPr>
          <w:rFonts w:ascii="Times New Roman" w:eastAsia="Calibri" w:hAnsi="Times New Roman" w:cs="Times New Roman"/>
          <w:i/>
          <w:iCs/>
          <w:sz w:val="24"/>
          <w:szCs w:val="24"/>
        </w:rPr>
        <w:t xml:space="preserve">Bd. of Cnty. Comm’rs of Bryan Cnty., Okl. v. </w:t>
      </w:r>
      <w:r w:rsidRPr="00B14B34">
        <w:rPr>
          <w:rFonts w:ascii="Times New Roman" w:eastAsia="Calibri" w:hAnsi="Times New Roman" w:cs="Times New Roman"/>
          <w:i/>
          <w:iCs/>
          <w:sz w:val="24"/>
          <w:szCs w:val="24"/>
        </w:rPr>
        <w:lastRenderedPageBreak/>
        <w:t>Brown</w:t>
      </w:r>
      <w:r w:rsidRPr="00B14B34">
        <w:rPr>
          <w:rFonts w:ascii="Times New Roman" w:eastAsia="Calibri" w:hAnsi="Times New Roman" w:cs="Times New Roman"/>
          <w:sz w:val="24"/>
          <w:szCs w:val="24"/>
        </w:rPr>
        <w:t xml:space="preserve">, 520 U.S. 397, 404 (1997); </w:t>
      </w:r>
      <w:r w:rsidRPr="00B14B34">
        <w:rPr>
          <w:rFonts w:ascii="Times New Roman" w:eastAsia="Calibri" w:hAnsi="Times New Roman" w:cs="Times New Roman"/>
          <w:i/>
          <w:iCs/>
          <w:sz w:val="24"/>
          <w:szCs w:val="24"/>
        </w:rPr>
        <w:t>Benavidez</w:t>
      </w:r>
      <w:r w:rsidRPr="00B14B34">
        <w:rPr>
          <w:rFonts w:ascii="Times New Roman" w:eastAsia="Calibri" w:hAnsi="Times New Roman" w:cs="Times New Roman"/>
          <w:sz w:val="24"/>
          <w:szCs w:val="24"/>
        </w:rPr>
        <w:t xml:space="preserve">, 993 F.3d at 1153. A widespread “custom or practice” must be so “persistent” that it constitutes a “permanent and well settled city policy.”  </w:t>
      </w:r>
      <w:r w:rsidRPr="00B14B34">
        <w:rPr>
          <w:rFonts w:ascii="Times New Roman" w:eastAsia="Calibri" w:hAnsi="Times New Roman" w:cs="Times New Roman"/>
          <w:i/>
          <w:iCs/>
          <w:sz w:val="24"/>
          <w:szCs w:val="24"/>
        </w:rPr>
        <w:t>Trevino</w:t>
      </w:r>
      <w:r w:rsidRPr="00B14B34">
        <w:rPr>
          <w:rFonts w:ascii="Times New Roman" w:eastAsia="Calibri" w:hAnsi="Times New Roman" w:cs="Times New Roman"/>
          <w:sz w:val="24"/>
          <w:szCs w:val="24"/>
        </w:rPr>
        <w:t>, 99 F.3d</w:t>
      </w:r>
      <w:r w:rsidRPr="00B14B34">
        <w:rPr>
          <w:rFonts w:ascii="Times New Roman" w:eastAsia="Calibri" w:hAnsi="Times New Roman" w:cs="Times New Roman"/>
          <w:i/>
          <w:iCs/>
          <w:sz w:val="24"/>
          <w:szCs w:val="24"/>
        </w:rPr>
        <w:t xml:space="preserve"> </w:t>
      </w:r>
      <w:r w:rsidRPr="00B14B34">
        <w:rPr>
          <w:rFonts w:ascii="Times New Roman" w:eastAsia="Calibri" w:hAnsi="Times New Roman" w:cs="Times New Roman"/>
          <w:sz w:val="24"/>
          <w:szCs w:val="24"/>
        </w:rPr>
        <w:t xml:space="preserve">at 918 (quoting </w:t>
      </w:r>
      <w:r w:rsidRPr="00B14B34">
        <w:rPr>
          <w:rFonts w:ascii="Times New Roman" w:eastAsia="Calibri" w:hAnsi="Times New Roman" w:cs="Times New Roman"/>
          <w:i/>
          <w:iCs/>
          <w:sz w:val="24"/>
          <w:szCs w:val="24"/>
        </w:rPr>
        <w:t>Monell</w:t>
      </w:r>
      <w:r w:rsidRPr="00B14B34">
        <w:rPr>
          <w:rFonts w:ascii="Times New Roman" w:eastAsia="Calibri" w:hAnsi="Times New Roman" w:cs="Times New Roman"/>
          <w:sz w:val="24"/>
          <w:szCs w:val="24"/>
        </w:rPr>
        <w:t>, 436 U.S. at 691);</w:t>
      </w:r>
      <w:r w:rsidRPr="00B14B34">
        <w:rPr>
          <w:rFonts w:ascii="Times New Roman" w:eastAsia="Calibri" w:hAnsi="Times New Roman" w:cs="Times New Roman"/>
          <w:i/>
          <w:iCs/>
          <w:sz w:val="24"/>
          <w:szCs w:val="24"/>
        </w:rPr>
        <w:t xml:space="preserve"> see also</w:t>
      </w:r>
      <w:r w:rsidRPr="00B14B34">
        <w:rPr>
          <w:rFonts w:ascii="Times New Roman" w:eastAsia="Calibri" w:hAnsi="Times New Roman" w:cs="Times New Roman"/>
          <w:sz w:val="24"/>
          <w:szCs w:val="24"/>
        </w:rPr>
        <w:t xml:space="preserve"> </w:t>
      </w:r>
      <w:r w:rsidRPr="00B14B34">
        <w:rPr>
          <w:rFonts w:ascii="Times New Roman" w:eastAsia="Calibri" w:hAnsi="Times New Roman" w:cs="Times New Roman"/>
          <w:i/>
          <w:iCs/>
          <w:sz w:val="24"/>
          <w:szCs w:val="24"/>
        </w:rPr>
        <w:t>Ulrich v. City &amp; Cnty. of S.F.</w:t>
      </w:r>
      <w:r w:rsidRPr="00B14B34">
        <w:rPr>
          <w:rFonts w:ascii="Times New Roman" w:eastAsia="Calibri" w:hAnsi="Times New Roman" w:cs="Times New Roman"/>
          <w:sz w:val="24"/>
          <w:szCs w:val="24"/>
        </w:rPr>
        <w:t xml:space="preserve">, 308 F.3d 968, 984 (9th Cir. 2002) (“Showing a ‘longstanding practice or custom which constitutes the “standard operating procedure” of the local government entity’ is one way to establish municipal liability.” (quoting </w:t>
      </w:r>
      <w:r w:rsidRPr="00B14B34">
        <w:rPr>
          <w:rFonts w:ascii="Times New Roman" w:eastAsia="Calibri" w:hAnsi="Times New Roman" w:cs="Times New Roman"/>
          <w:i/>
          <w:iCs/>
          <w:sz w:val="24"/>
          <w:szCs w:val="24"/>
        </w:rPr>
        <w:t>Jett v. Dallas Indep. Sch. Dist.</w:t>
      </w:r>
      <w:r w:rsidRPr="00B14B34">
        <w:rPr>
          <w:rFonts w:ascii="Times New Roman" w:eastAsia="Calibri" w:hAnsi="Times New Roman" w:cs="Times New Roman"/>
          <w:sz w:val="24"/>
          <w:szCs w:val="24"/>
        </w:rPr>
        <w:t xml:space="preserve">, 491 U.S. 701, 737 (1989))). A widespread custom or practice cannot be based on “isolated or sporadic incidents; [liability] must be founded upon practices of sufficient duration, frequency and consistency that the conduct has become a traditional method of carrying out policy.” </w:t>
      </w:r>
      <w:r w:rsidRPr="00B14B34">
        <w:rPr>
          <w:rFonts w:ascii="Times New Roman" w:eastAsia="Calibri" w:hAnsi="Times New Roman" w:cs="Times New Roman"/>
          <w:i/>
          <w:iCs/>
          <w:sz w:val="24"/>
          <w:szCs w:val="24"/>
        </w:rPr>
        <w:t>Sabra v. Maricopa Cnty. Cmty. Coll. Dist.</w:t>
      </w:r>
      <w:r w:rsidRPr="00B14B34">
        <w:rPr>
          <w:rFonts w:ascii="Times New Roman" w:eastAsia="Calibri" w:hAnsi="Times New Roman" w:cs="Times New Roman"/>
          <w:sz w:val="24"/>
          <w:szCs w:val="24"/>
        </w:rPr>
        <w:t xml:space="preserve">, 44 F.4th 867, 884 (9th Cir. 2022) (quoting </w:t>
      </w:r>
      <w:r w:rsidRPr="00B14B34">
        <w:rPr>
          <w:rFonts w:ascii="Times New Roman" w:eastAsia="Calibri" w:hAnsi="Times New Roman" w:cs="Times New Roman"/>
          <w:i/>
          <w:iCs/>
          <w:sz w:val="24"/>
          <w:szCs w:val="24"/>
        </w:rPr>
        <w:t>Trevino</w:t>
      </w:r>
      <w:r w:rsidRPr="00B14B34">
        <w:rPr>
          <w:rFonts w:ascii="Times New Roman" w:eastAsia="Calibri" w:hAnsi="Times New Roman" w:cs="Times New Roman"/>
          <w:sz w:val="24"/>
          <w:szCs w:val="24"/>
        </w:rPr>
        <w:t>, 99 F.3d at 918).</w:t>
      </w:r>
    </w:p>
    <w:p w14:paraId="1D4DE77D"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50B65637"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r w:rsidRPr="00B14B34">
        <w:rPr>
          <w:rFonts w:ascii="Times New Roman" w:eastAsia="Calibri" w:hAnsi="Times New Roman" w:cs="Times New Roman"/>
          <w:sz w:val="24"/>
          <w:szCs w:val="24"/>
        </w:rPr>
        <w:tab/>
        <w:t xml:space="preserve"> “[A] custom or practice can be supported by evidence of repeated constitutional violations which went uninvestigated and for which the errant municipal officers went unpunished.” </w:t>
      </w:r>
      <w:r w:rsidRPr="00B14B34">
        <w:rPr>
          <w:rFonts w:ascii="Times New Roman" w:eastAsia="Calibri" w:hAnsi="Times New Roman" w:cs="Times New Roman"/>
          <w:i/>
          <w:iCs/>
          <w:sz w:val="24"/>
          <w:szCs w:val="24"/>
        </w:rPr>
        <w:t>Hunter v. County of Sacramento</w:t>
      </w:r>
      <w:r w:rsidRPr="00B14B34">
        <w:rPr>
          <w:rFonts w:ascii="Times New Roman" w:eastAsia="Calibri" w:hAnsi="Times New Roman" w:cs="Times New Roman"/>
          <w:sz w:val="24"/>
          <w:szCs w:val="24"/>
        </w:rPr>
        <w:t xml:space="preserve">, 652 F.3d 1225, 1236 (9th Cir. 2011); </w:t>
      </w:r>
      <w:r w:rsidRPr="00B14B34">
        <w:rPr>
          <w:rFonts w:ascii="Times New Roman" w:eastAsia="Calibri" w:hAnsi="Times New Roman" w:cs="Times New Roman"/>
          <w:i/>
          <w:iCs/>
          <w:sz w:val="24"/>
          <w:szCs w:val="24"/>
        </w:rPr>
        <w:t>see also Nehad v. Browder</w:t>
      </w:r>
      <w:r w:rsidRPr="00B14B34">
        <w:rPr>
          <w:rFonts w:ascii="Times New Roman" w:eastAsia="Calibri" w:hAnsi="Times New Roman" w:cs="Times New Roman"/>
          <w:sz w:val="24"/>
          <w:szCs w:val="24"/>
        </w:rPr>
        <w:t xml:space="preserve">, 929 F.3d 1125, 1141-42 (9th Cir. 2019) (citing evidence sufficient to create triable issue regarding informal practice or policy). The Ninth Circuit has used the term “longstanding” practice or custom interchangeably with the Supreme Court’s more frequent usage of “widespread.” </w:t>
      </w:r>
      <w:r w:rsidRPr="00B14B34">
        <w:rPr>
          <w:rFonts w:ascii="Times New Roman" w:eastAsia="Calibri" w:hAnsi="Times New Roman" w:cs="Times New Roman"/>
          <w:i/>
          <w:iCs/>
          <w:sz w:val="24"/>
          <w:szCs w:val="24"/>
        </w:rPr>
        <w:t>See,</w:t>
      </w:r>
      <w:r w:rsidRPr="00B14B34">
        <w:rPr>
          <w:rFonts w:ascii="Times New Roman" w:eastAsia="Calibri" w:hAnsi="Times New Roman" w:cs="Times New Roman"/>
          <w:sz w:val="24"/>
          <w:szCs w:val="24"/>
        </w:rPr>
        <w:t xml:space="preserve"> </w:t>
      </w:r>
      <w:r w:rsidRPr="00B14B34">
        <w:rPr>
          <w:rFonts w:ascii="Times New Roman" w:eastAsia="Calibri" w:hAnsi="Times New Roman" w:cs="Times New Roman"/>
          <w:i/>
          <w:iCs/>
          <w:sz w:val="24"/>
          <w:szCs w:val="24"/>
        </w:rPr>
        <w:t>e.g.</w:t>
      </w:r>
      <w:r w:rsidRPr="00B14B34">
        <w:rPr>
          <w:rFonts w:ascii="Times New Roman" w:eastAsia="Calibri" w:hAnsi="Times New Roman" w:cs="Times New Roman"/>
          <w:sz w:val="24"/>
          <w:szCs w:val="24"/>
        </w:rPr>
        <w:t>,</w:t>
      </w:r>
      <w:r w:rsidRPr="00B14B34">
        <w:rPr>
          <w:rFonts w:ascii="Times New Roman" w:eastAsia="Calibri" w:hAnsi="Times New Roman" w:cs="Times New Roman"/>
          <w:i/>
          <w:iCs/>
          <w:sz w:val="24"/>
          <w:szCs w:val="24"/>
        </w:rPr>
        <w:t xml:space="preserve"> Sabra</w:t>
      </w:r>
      <w:r w:rsidRPr="00B14B34">
        <w:rPr>
          <w:rFonts w:ascii="Times New Roman" w:eastAsia="Calibri" w:hAnsi="Times New Roman" w:cs="Times New Roman"/>
          <w:sz w:val="24"/>
          <w:szCs w:val="24"/>
        </w:rPr>
        <w:t xml:space="preserve">, 44 F.4th at 883; </w:t>
      </w:r>
      <w:r w:rsidRPr="00B14B34">
        <w:rPr>
          <w:rFonts w:ascii="Times New Roman" w:eastAsia="Calibri" w:hAnsi="Times New Roman" w:cs="Times New Roman"/>
          <w:i/>
          <w:iCs/>
          <w:sz w:val="24"/>
          <w:szCs w:val="24"/>
        </w:rPr>
        <w:t>Christie v. Iopa</w:t>
      </w:r>
      <w:r w:rsidRPr="00B14B34">
        <w:rPr>
          <w:rFonts w:ascii="Times New Roman" w:eastAsia="Calibri" w:hAnsi="Times New Roman" w:cs="Times New Roman"/>
          <w:sz w:val="24"/>
          <w:szCs w:val="24"/>
        </w:rPr>
        <w:t xml:space="preserve">, 176 F.3d 1231, 1235 (9th Cir. 1999); </w:t>
      </w:r>
      <w:r w:rsidRPr="00B14B34">
        <w:rPr>
          <w:rFonts w:ascii="Times New Roman" w:eastAsia="Calibri" w:hAnsi="Times New Roman" w:cs="Times New Roman"/>
          <w:i/>
          <w:iCs/>
          <w:sz w:val="24"/>
          <w:szCs w:val="24"/>
        </w:rPr>
        <w:t>Connick v. Thompson</w:t>
      </w:r>
      <w:r w:rsidRPr="00B14B34">
        <w:rPr>
          <w:rFonts w:ascii="Times New Roman" w:eastAsia="Calibri" w:hAnsi="Times New Roman" w:cs="Times New Roman"/>
          <w:sz w:val="24"/>
          <w:szCs w:val="24"/>
        </w:rPr>
        <w:t xml:space="preserve">, 563 U.S. 51, 61 (2011). Use the bracketed language in the last sentence of the penultimate paragraph of the instruction only when the plaintiff has presented substantial evidence of a failure to investigate or discipline and that theory is central to the plaintiff’s case. </w:t>
      </w:r>
      <w:r w:rsidRPr="00B14B34">
        <w:rPr>
          <w:rFonts w:ascii="Times New Roman" w:eastAsia="Calibri" w:hAnsi="Times New Roman" w:cs="Times New Roman"/>
          <w:i/>
          <w:iCs/>
          <w:sz w:val="24"/>
          <w:szCs w:val="24"/>
        </w:rPr>
        <w:t>See Hunter</w:t>
      </w:r>
      <w:r w:rsidRPr="00B14B34">
        <w:rPr>
          <w:rFonts w:ascii="Times New Roman" w:eastAsia="Calibri" w:hAnsi="Times New Roman" w:cs="Times New Roman"/>
          <w:sz w:val="24"/>
          <w:szCs w:val="24"/>
        </w:rPr>
        <w:t>, 652 F.3d at 1235.</w:t>
      </w:r>
      <w:r w:rsidRPr="00B14B34">
        <w:rPr>
          <w:rFonts w:ascii="Times New Roman" w:eastAsia="Times New Roman" w:hAnsi="Times New Roman" w:cs="Times New Roman"/>
          <w:sz w:val="24"/>
          <w:szCs w:val="24"/>
        </w:rPr>
        <w:t xml:space="preserve"> </w:t>
      </w:r>
      <w:r w:rsidRPr="00B14B34">
        <w:rPr>
          <w:rFonts w:ascii="Times New Roman" w:eastAsia="Calibri" w:hAnsi="Times New Roman" w:cs="Times New Roman"/>
          <w:sz w:val="24"/>
          <w:szCs w:val="24"/>
        </w:rPr>
        <w:t xml:space="preserve">“Official nonfeasance can constitute a </w:t>
      </w:r>
      <w:r w:rsidRPr="00B14B34">
        <w:rPr>
          <w:rFonts w:ascii="Times New Roman" w:eastAsia="Calibri" w:hAnsi="Times New Roman" w:cs="Times New Roman"/>
          <w:i/>
          <w:iCs/>
          <w:sz w:val="24"/>
          <w:szCs w:val="24"/>
        </w:rPr>
        <w:t>Monell</w:t>
      </w:r>
      <w:r w:rsidRPr="00B14B34">
        <w:rPr>
          <w:rFonts w:ascii="Times New Roman" w:eastAsia="Calibri" w:hAnsi="Times New Roman" w:cs="Times New Roman"/>
          <w:sz w:val="24"/>
          <w:szCs w:val="24"/>
        </w:rPr>
        <w:t xml:space="preserve"> violation when the municipality in effect ‘has a policy of inaction and such inaction amounts to a failure to protect constitutional rights.’” </w:t>
      </w:r>
      <w:r w:rsidRPr="00B14B34">
        <w:rPr>
          <w:rFonts w:ascii="Times New Roman" w:eastAsia="Calibri" w:hAnsi="Times New Roman" w:cs="Times New Roman"/>
          <w:i/>
          <w:iCs/>
          <w:sz w:val="24"/>
          <w:szCs w:val="24"/>
        </w:rPr>
        <w:t>Scanlon v. County of Los Angeles</w:t>
      </w:r>
      <w:r w:rsidRPr="00B14B34">
        <w:rPr>
          <w:rFonts w:ascii="Times New Roman" w:eastAsia="Calibri" w:hAnsi="Times New Roman" w:cs="Times New Roman"/>
          <w:sz w:val="24"/>
          <w:szCs w:val="24"/>
        </w:rPr>
        <w:t xml:space="preserve">, 92 F.4th 781, 812 (9th Cir. 2024) (quoting </w:t>
      </w:r>
      <w:r w:rsidRPr="00B14B34">
        <w:rPr>
          <w:rFonts w:ascii="Times New Roman" w:eastAsia="Calibri" w:hAnsi="Times New Roman" w:cs="Times New Roman"/>
          <w:i/>
          <w:iCs/>
          <w:sz w:val="24"/>
          <w:szCs w:val="24"/>
        </w:rPr>
        <w:t>Mortimer v. Baca</w:t>
      </w:r>
      <w:r w:rsidRPr="00B14B34">
        <w:rPr>
          <w:rFonts w:ascii="Times New Roman" w:eastAsia="Calibri" w:hAnsi="Times New Roman" w:cs="Times New Roman"/>
          <w:sz w:val="24"/>
          <w:szCs w:val="24"/>
        </w:rPr>
        <w:t>, 594 F3d 714, 722 (9th Cir. 2010)).</w:t>
      </w:r>
    </w:p>
    <w:p w14:paraId="7E165178" w14:textId="77777777" w:rsidR="00B14B34" w:rsidRPr="00B14B34" w:rsidRDefault="00B14B34" w:rsidP="00B14B34">
      <w:pPr>
        <w:autoSpaceDE w:val="0"/>
        <w:autoSpaceDN w:val="0"/>
        <w:adjustRightInd w:val="0"/>
        <w:spacing w:after="0" w:line="240" w:lineRule="auto"/>
        <w:rPr>
          <w:rFonts w:ascii="Times New Roman" w:eastAsia="Calibri" w:hAnsi="Times New Roman" w:cs="Times New Roman"/>
          <w:sz w:val="24"/>
          <w:szCs w:val="24"/>
        </w:rPr>
      </w:pPr>
    </w:p>
    <w:p w14:paraId="1924EEE1" w14:textId="3EA63796" w:rsidR="008156B8" w:rsidRPr="00771CA2" w:rsidRDefault="00B14B34" w:rsidP="00B14B34">
      <w:pPr>
        <w:autoSpaceDE w:val="0"/>
        <w:autoSpaceDN w:val="0"/>
        <w:adjustRightInd w:val="0"/>
        <w:spacing w:after="0" w:line="240" w:lineRule="auto"/>
        <w:rPr>
          <w:rFonts w:ascii="Times New Roman" w:hAnsi="Times New Roman" w:cs="Times New Roman"/>
          <w:sz w:val="24"/>
          <w:szCs w:val="24"/>
        </w:rPr>
      </w:pPr>
      <w:r w:rsidRPr="00B14B34">
        <w:rPr>
          <w:rFonts w:ascii="Times New Roman" w:eastAsia="Calibri" w:hAnsi="Times New Roman" w:cs="Times New Roman"/>
          <w:sz w:val="24"/>
          <w:szCs w:val="24"/>
        </w:rPr>
        <w:tab/>
        <w:t>A plaintiff seeking to establish municipal liability must demonstrate that the government “had a deliberate policy, custom, or practice that was the ‘moving force’ behind the constitutional violation he suffered.”</w:t>
      </w:r>
      <w:r w:rsidRPr="00B14B34">
        <w:rPr>
          <w:rFonts w:ascii="Times New Roman" w:eastAsia="Calibri" w:hAnsi="Times New Roman" w:cs="Times New Roman"/>
          <w:i/>
          <w:iCs/>
          <w:sz w:val="24"/>
          <w:szCs w:val="24"/>
        </w:rPr>
        <w:t xml:space="preserve"> Gravelet-Blondin v. Shelton</w:t>
      </w:r>
      <w:r w:rsidRPr="00B14B34">
        <w:rPr>
          <w:rFonts w:ascii="Times New Roman" w:eastAsia="Calibri" w:hAnsi="Times New Roman" w:cs="Times New Roman"/>
          <w:sz w:val="24"/>
          <w:szCs w:val="24"/>
        </w:rPr>
        <w:t xml:space="preserve">, 728 F.3d 1086, 1096 (9th Cir. 2013) (citations and quotations omitted). “To meet this requirement, the plaintiff must show both causation-in-fact and proximate causation.” </w:t>
      </w:r>
      <w:r w:rsidRPr="00B14B34">
        <w:rPr>
          <w:rFonts w:ascii="Times New Roman" w:eastAsia="Calibri" w:hAnsi="Times New Roman" w:cs="Times New Roman"/>
          <w:i/>
          <w:iCs/>
          <w:sz w:val="24"/>
          <w:szCs w:val="24"/>
        </w:rPr>
        <w:t>Id</w:t>
      </w:r>
      <w:r>
        <w:rPr>
          <w:rFonts w:ascii="Times New Roman" w:eastAsia="Calibri" w:hAnsi="Times New Roman" w:cs="Times New Roman"/>
          <w:i/>
          <w:iCs/>
          <w:sz w:val="24"/>
          <w:szCs w:val="24"/>
        </w:rPr>
        <w:t>.</w:t>
      </w:r>
    </w:p>
    <w:p w14:paraId="38ECDB38" w14:textId="77777777" w:rsidR="008156B8" w:rsidRPr="00771CA2" w:rsidRDefault="008156B8" w:rsidP="008156B8">
      <w:pPr>
        <w:autoSpaceDE w:val="0"/>
        <w:autoSpaceDN w:val="0"/>
        <w:adjustRightInd w:val="0"/>
        <w:spacing w:after="0" w:line="240" w:lineRule="auto"/>
        <w:rPr>
          <w:rFonts w:ascii="Times New Roman" w:hAnsi="Times New Roman" w:cs="Times New Roman"/>
          <w:sz w:val="24"/>
          <w:szCs w:val="24"/>
        </w:rPr>
      </w:pPr>
    </w:p>
    <w:p w14:paraId="71A2D6FF" w14:textId="7B1159B3" w:rsidR="008156B8" w:rsidRPr="00771CA2" w:rsidRDefault="008156B8" w:rsidP="008156B8">
      <w:pPr>
        <w:autoSpaceDE w:val="0"/>
        <w:autoSpaceDN w:val="0"/>
        <w:adjustRightInd w:val="0"/>
        <w:spacing w:after="0" w:line="240" w:lineRule="auto"/>
        <w:jc w:val="right"/>
        <w:rPr>
          <w:rFonts w:ascii="Times New Roman" w:hAnsi="Times New Roman" w:cs="Times New Roman"/>
          <w:sz w:val="24"/>
          <w:szCs w:val="24"/>
        </w:rPr>
      </w:pPr>
      <w:r w:rsidRPr="00771CA2">
        <w:rPr>
          <w:rFonts w:ascii="Times New Roman" w:hAnsi="Times New Roman" w:cs="Times New Roman"/>
          <w:i/>
          <w:iCs/>
          <w:sz w:val="24"/>
          <w:szCs w:val="24"/>
        </w:rPr>
        <w:t xml:space="preserve">Revised </w:t>
      </w:r>
      <w:r w:rsidR="00C22868">
        <w:rPr>
          <w:rFonts w:ascii="Times New Roman" w:hAnsi="Times New Roman" w:cs="Times New Roman"/>
          <w:i/>
          <w:iCs/>
          <w:sz w:val="24"/>
          <w:szCs w:val="24"/>
        </w:rPr>
        <w:t>March 202</w:t>
      </w:r>
      <w:r w:rsidR="000A2118">
        <w:rPr>
          <w:rFonts w:ascii="Times New Roman" w:hAnsi="Times New Roman" w:cs="Times New Roman"/>
          <w:i/>
          <w:iCs/>
          <w:sz w:val="24"/>
          <w:szCs w:val="24"/>
        </w:rPr>
        <w:t>5</w:t>
      </w:r>
    </w:p>
    <w:p w14:paraId="077190D8" w14:textId="77777777" w:rsidR="00FE7F82" w:rsidRDefault="00FE7F82"/>
    <w:sectPr w:rsidR="00FE7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B8"/>
    <w:rsid w:val="000A2118"/>
    <w:rsid w:val="002537B3"/>
    <w:rsid w:val="00364051"/>
    <w:rsid w:val="004267DB"/>
    <w:rsid w:val="00484CE4"/>
    <w:rsid w:val="0065559F"/>
    <w:rsid w:val="007A531D"/>
    <w:rsid w:val="007B1DD8"/>
    <w:rsid w:val="008156B8"/>
    <w:rsid w:val="008425D2"/>
    <w:rsid w:val="00846641"/>
    <w:rsid w:val="00887257"/>
    <w:rsid w:val="009B71C2"/>
    <w:rsid w:val="00B14B34"/>
    <w:rsid w:val="00BC57E8"/>
    <w:rsid w:val="00C22868"/>
    <w:rsid w:val="00CF2B1A"/>
    <w:rsid w:val="00E10FBD"/>
    <w:rsid w:val="00F53C28"/>
    <w:rsid w:val="00F665EB"/>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6332"/>
  <w15:chartTrackingRefBased/>
  <w15:docId w15:val="{DA5C4F63-D0EC-4D79-A98D-93813144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B1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15</cp:revision>
  <dcterms:created xsi:type="dcterms:W3CDTF">2022-04-29T00:32:00Z</dcterms:created>
  <dcterms:modified xsi:type="dcterms:W3CDTF">2026-03-12T15:42:00Z</dcterms:modified>
</cp:coreProperties>
</file>