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B7522" w14:textId="01476241" w:rsidR="001B7C8C" w:rsidRPr="001B7C8C" w:rsidRDefault="001B7C8C" w:rsidP="001B7C8C">
      <w:pPr>
        <w:autoSpaceDE w:val="0"/>
        <w:autoSpaceDN w:val="0"/>
        <w:adjustRightInd w:val="0"/>
        <w:spacing w:after="0" w:line="240" w:lineRule="auto"/>
        <w:jc w:val="center"/>
        <w:rPr>
          <w:rFonts w:ascii="Times New Roman" w:hAnsi="Times New Roman" w:cs="Times New Roman"/>
          <w:b/>
          <w:bCs/>
          <w:kern w:val="0"/>
          <w:sz w:val="24"/>
          <w:szCs w:val="24"/>
        </w:rPr>
      </w:pPr>
      <w:r w:rsidRPr="001B7C8C">
        <w:rPr>
          <w:rFonts w:ascii="Times New Roman" w:hAnsi="Times New Roman" w:cs="Times New Roman"/>
          <w:kern w:val="0"/>
          <w:sz w:val="24"/>
          <w:szCs w:val="24"/>
          <w:lang w:val="en-CA"/>
        </w:rPr>
        <w:fldChar w:fldCharType="begin"/>
      </w:r>
      <w:r w:rsidRPr="001B7C8C">
        <w:rPr>
          <w:rFonts w:ascii="Times New Roman" w:hAnsi="Times New Roman" w:cs="Times New Roman"/>
          <w:kern w:val="0"/>
          <w:sz w:val="24"/>
          <w:szCs w:val="24"/>
          <w:lang w:val="en-CA"/>
        </w:rPr>
        <w:instrText xml:space="preserve"> SEQ CHAPTER \h \r 1</w:instrText>
      </w:r>
      <w:r w:rsidRPr="001B7C8C">
        <w:rPr>
          <w:rFonts w:ascii="Times New Roman" w:hAnsi="Times New Roman" w:cs="Times New Roman"/>
          <w:kern w:val="0"/>
          <w:sz w:val="24"/>
          <w:szCs w:val="24"/>
          <w:lang w:val="en-CA"/>
        </w:rPr>
        <w:fldChar w:fldCharType="end"/>
      </w:r>
      <w:r w:rsidRPr="001B7C8C">
        <w:rPr>
          <w:rFonts w:ascii="Times New Roman" w:hAnsi="Times New Roman" w:cs="Times New Roman"/>
          <w:b/>
          <w:bCs/>
          <w:kern w:val="0"/>
          <w:sz w:val="24"/>
          <w:szCs w:val="24"/>
        </w:rPr>
        <w:t xml:space="preserve">9.6 Section 1983 Claim Against Local Governing Body Defendants Based </w:t>
      </w:r>
      <w:r>
        <w:rPr>
          <w:rFonts w:ascii="Times New Roman" w:hAnsi="Times New Roman" w:cs="Times New Roman"/>
          <w:b/>
          <w:bCs/>
          <w:kern w:val="0"/>
          <w:sz w:val="24"/>
          <w:szCs w:val="24"/>
        </w:rPr>
        <w:t>on</w:t>
      </w:r>
      <w:r w:rsidRPr="001B7C8C">
        <w:rPr>
          <w:rFonts w:ascii="Times New Roman" w:hAnsi="Times New Roman" w:cs="Times New Roman"/>
          <w:b/>
          <w:bCs/>
          <w:kern w:val="0"/>
          <w:sz w:val="24"/>
          <w:szCs w:val="24"/>
        </w:rPr>
        <w:t xml:space="preserve"> Act </w:t>
      </w:r>
      <w:r>
        <w:rPr>
          <w:rFonts w:ascii="Times New Roman" w:hAnsi="Times New Roman" w:cs="Times New Roman"/>
          <w:b/>
          <w:bCs/>
          <w:kern w:val="0"/>
          <w:sz w:val="24"/>
          <w:szCs w:val="24"/>
        </w:rPr>
        <w:t>o</w:t>
      </w:r>
      <w:r w:rsidRPr="001B7C8C">
        <w:rPr>
          <w:rFonts w:ascii="Times New Roman" w:hAnsi="Times New Roman" w:cs="Times New Roman"/>
          <w:b/>
          <w:bCs/>
          <w:kern w:val="0"/>
          <w:sz w:val="24"/>
          <w:szCs w:val="24"/>
        </w:rPr>
        <w:t xml:space="preserve">f Final Policymaker—Elements </w:t>
      </w:r>
      <w:r>
        <w:rPr>
          <w:rFonts w:ascii="Times New Roman" w:hAnsi="Times New Roman" w:cs="Times New Roman"/>
          <w:b/>
          <w:bCs/>
          <w:kern w:val="0"/>
          <w:sz w:val="24"/>
          <w:szCs w:val="24"/>
        </w:rPr>
        <w:t>A</w:t>
      </w:r>
      <w:r w:rsidRPr="001B7C8C">
        <w:rPr>
          <w:rFonts w:ascii="Times New Roman" w:hAnsi="Times New Roman" w:cs="Times New Roman"/>
          <w:b/>
          <w:bCs/>
          <w:kern w:val="0"/>
          <w:sz w:val="24"/>
          <w:szCs w:val="24"/>
        </w:rPr>
        <w:t xml:space="preserve">nd Burden </w:t>
      </w:r>
      <w:r>
        <w:rPr>
          <w:rFonts w:ascii="Times New Roman" w:hAnsi="Times New Roman" w:cs="Times New Roman"/>
          <w:b/>
          <w:bCs/>
          <w:kern w:val="0"/>
          <w:sz w:val="24"/>
          <w:szCs w:val="24"/>
        </w:rPr>
        <w:t>O</w:t>
      </w:r>
      <w:r w:rsidRPr="001B7C8C">
        <w:rPr>
          <w:rFonts w:ascii="Times New Roman" w:hAnsi="Times New Roman" w:cs="Times New Roman"/>
          <w:b/>
          <w:bCs/>
          <w:kern w:val="0"/>
          <w:sz w:val="24"/>
          <w:szCs w:val="24"/>
        </w:rPr>
        <w:t>f Proof</w:t>
      </w:r>
    </w:p>
    <w:p w14:paraId="67195105"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p>
    <w:p w14:paraId="51462B72" w14:textId="31D06496"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r w:rsidRPr="001B7C8C">
        <w:rPr>
          <w:rFonts w:ascii="Times New Roman" w:hAnsi="Times New Roman" w:cs="Times New Roman"/>
          <w:kern w:val="0"/>
          <w:sz w:val="24"/>
          <w:szCs w:val="24"/>
        </w:rPr>
        <w:tab/>
        <w:t>In order to prevail on</w:t>
      </w:r>
      <w:r>
        <w:rPr>
          <w:rFonts w:ascii="Times New Roman" w:hAnsi="Times New Roman" w:cs="Times New Roman"/>
          <w:kern w:val="0"/>
          <w:sz w:val="24"/>
          <w:szCs w:val="24"/>
        </w:rPr>
        <w:t xml:space="preserve"> plaintiff</w:t>
      </w:r>
      <w:r w:rsidR="003719CF">
        <w:rPr>
          <w:rFonts w:ascii="Times New Roman" w:hAnsi="Times New Roman" w:cs="Times New Roman"/>
          <w:kern w:val="0"/>
          <w:sz w:val="24"/>
          <w:szCs w:val="24"/>
        </w:rPr>
        <w:t xml:space="preserve"> [</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w:t>
      </w:r>
      <w:r>
        <w:rPr>
          <w:rFonts w:ascii="Times New Roman" w:hAnsi="Times New Roman" w:cs="Times New Roman"/>
          <w:kern w:val="0"/>
          <w:sz w:val="24"/>
          <w:szCs w:val="24"/>
        </w:rPr>
        <w:t xml:space="preserve">’s </w:t>
      </w:r>
      <w:r w:rsidRPr="001B7C8C">
        <w:rPr>
          <w:rFonts w:ascii="Times New Roman" w:hAnsi="Times New Roman" w:cs="Times New Roman"/>
          <w:kern w:val="0"/>
          <w:sz w:val="24"/>
          <w:szCs w:val="24"/>
        </w:rPr>
        <w:t>§ 1983 claim against defendant [</w:t>
      </w:r>
      <w:r w:rsidRPr="001B7C8C">
        <w:rPr>
          <w:rFonts w:ascii="Times New Roman" w:hAnsi="Times New Roman" w:cs="Times New Roman"/>
          <w:i/>
          <w:iCs/>
          <w:kern w:val="0"/>
          <w:sz w:val="24"/>
          <w:szCs w:val="24"/>
          <w:u w:val="single"/>
        </w:rPr>
        <w:t>name of local governing body</w:t>
      </w:r>
      <w:r w:rsidRPr="001B7C8C">
        <w:rPr>
          <w:rFonts w:ascii="Times New Roman" w:hAnsi="Times New Roman" w:cs="Times New Roman"/>
          <w:kern w:val="0"/>
          <w:sz w:val="24"/>
          <w:szCs w:val="24"/>
        </w:rPr>
        <w:t xml:space="preserve">] alleging liability based on the act of a final policymaker, plaintiff </w:t>
      </w:r>
      <w:r w:rsidR="003719CF">
        <w:rPr>
          <w:rFonts w:ascii="Times New Roman" w:hAnsi="Times New Roman" w:cs="Times New Roman"/>
          <w:kern w:val="0"/>
          <w:sz w:val="24"/>
          <w:szCs w:val="24"/>
        </w:rPr>
        <w:t>[</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 xml:space="preserve">] </w:t>
      </w:r>
      <w:r w:rsidRPr="001B7C8C">
        <w:rPr>
          <w:rFonts w:ascii="Times New Roman" w:hAnsi="Times New Roman" w:cs="Times New Roman"/>
          <w:kern w:val="0"/>
          <w:sz w:val="24"/>
          <w:szCs w:val="24"/>
        </w:rPr>
        <w:t>must prove each of the following elements by a preponderance of the evidence:</w:t>
      </w:r>
    </w:p>
    <w:p w14:paraId="0BFD8D35"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p>
    <w:p w14:paraId="191EE719" w14:textId="22AF9C0C" w:rsidR="001B7C8C" w:rsidRPr="001B7C8C" w:rsidRDefault="003719CF" w:rsidP="001B7C8C">
      <w:pPr>
        <w:tabs>
          <w:tab w:val="left" w:pos="720"/>
          <w:tab w:val="left" w:pos="1440"/>
        </w:tabs>
        <w:autoSpaceDE w:val="0"/>
        <w:autoSpaceDN w:val="0"/>
        <w:adjustRightInd w:val="0"/>
        <w:spacing w:after="0" w:line="240" w:lineRule="auto"/>
        <w:ind w:left="1440" w:hanging="720"/>
        <w:rPr>
          <w:rFonts w:ascii="Times New Roman" w:hAnsi="Times New Roman" w:cs="Times New Roman"/>
          <w:kern w:val="0"/>
          <w:sz w:val="24"/>
          <w:szCs w:val="24"/>
        </w:rPr>
      </w:pPr>
      <w:r>
        <w:rPr>
          <w:rFonts w:ascii="Times New Roman" w:hAnsi="Times New Roman" w:cs="Times New Roman"/>
          <w:kern w:val="0"/>
          <w:sz w:val="24"/>
          <w:szCs w:val="24"/>
        </w:rPr>
        <w:t xml:space="preserve">First, </w:t>
      </w:r>
      <w:r w:rsidR="001B7C8C" w:rsidRPr="001B7C8C">
        <w:rPr>
          <w:rFonts w:ascii="Times New Roman" w:hAnsi="Times New Roman" w:cs="Times New Roman"/>
          <w:kern w:val="0"/>
          <w:sz w:val="24"/>
          <w:szCs w:val="24"/>
        </w:rPr>
        <w:t>[</w:t>
      </w:r>
      <w:r w:rsidR="001B7C8C" w:rsidRPr="001B7C8C">
        <w:rPr>
          <w:rFonts w:ascii="Times New Roman" w:hAnsi="Times New Roman" w:cs="Times New Roman"/>
          <w:i/>
          <w:iCs/>
          <w:kern w:val="0"/>
          <w:sz w:val="24"/>
          <w:szCs w:val="24"/>
          <w:u w:val="single"/>
        </w:rPr>
        <w:t>name of person the plaintiff alleges was a final policymaker</w:t>
      </w:r>
      <w:r w:rsidR="001B7C8C" w:rsidRPr="001B7C8C">
        <w:rPr>
          <w:rFonts w:ascii="Times New Roman" w:hAnsi="Times New Roman" w:cs="Times New Roman"/>
          <w:kern w:val="0"/>
          <w:sz w:val="24"/>
          <w:szCs w:val="24"/>
        </w:rPr>
        <w:t xml:space="preserve">] acted under color of state </w:t>
      </w:r>
      <w:proofErr w:type="gramStart"/>
      <w:r w:rsidR="001B7C8C" w:rsidRPr="001B7C8C">
        <w:rPr>
          <w:rFonts w:ascii="Times New Roman" w:hAnsi="Times New Roman" w:cs="Times New Roman"/>
          <w:kern w:val="0"/>
          <w:sz w:val="24"/>
          <w:szCs w:val="24"/>
        </w:rPr>
        <w:t>law;</w:t>
      </w:r>
      <w:proofErr w:type="gramEnd"/>
      <w:r w:rsidR="001B7C8C" w:rsidRPr="001B7C8C">
        <w:rPr>
          <w:rFonts w:ascii="Times New Roman" w:hAnsi="Times New Roman" w:cs="Times New Roman"/>
          <w:kern w:val="0"/>
          <w:sz w:val="24"/>
          <w:szCs w:val="24"/>
        </w:rPr>
        <w:t xml:space="preserve"> </w:t>
      </w:r>
    </w:p>
    <w:p w14:paraId="51947070"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p>
    <w:p w14:paraId="46AA6808" w14:textId="5C55A28B" w:rsidR="001B7C8C" w:rsidRPr="001B7C8C" w:rsidRDefault="001B7C8C" w:rsidP="001B7C8C">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1B7C8C">
        <w:rPr>
          <w:rFonts w:ascii="Times New Roman" w:hAnsi="Times New Roman" w:cs="Times New Roman"/>
          <w:kern w:val="0"/>
          <w:sz w:val="24"/>
          <w:szCs w:val="24"/>
        </w:rPr>
        <w:tab/>
      </w:r>
      <w:r w:rsidR="003719CF">
        <w:rPr>
          <w:rFonts w:ascii="Times New Roman" w:hAnsi="Times New Roman" w:cs="Times New Roman"/>
          <w:kern w:val="0"/>
          <w:sz w:val="24"/>
          <w:szCs w:val="24"/>
        </w:rPr>
        <w:t xml:space="preserve">Second, </w:t>
      </w:r>
      <w:r w:rsidRPr="001B7C8C">
        <w:rPr>
          <w:rFonts w:ascii="Times New Roman" w:hAnsi="Times New Roman" w:cs="Times New Roman"/>
          <w:kern w:val="0"/>
          <w:sz w:val="24"/>
          <w:szCs w:val="24"/>
        </w:rPr>
        <w:t>the act[s] of [</w:t>
      </w:r>
      <w:r w:rsidRPr="001B7C8C">
        <w:rPr>
          <w:rFonts w:ascii="Times New Roman" w:hAnsi="Times New Roman" w:cs="Times New Roman"/>
          <w:i/>
          <w:iCs/>
          <w:kern w:val="0"/>
          <w:sz w:val="24"/>
          <w:szCs w:val="24"/>
          <w:u w:val="single"/>
        </w:rPr>
        <w:t>name of final policymaker</w:t>
      </w:r>
      <w:r w:rsidRPr="001B7C8C">
        <w:rPr>
          <w:rFonts w:ascii="Times New Roman" w:hAnsi="Times New Roman" w:cs="Times New Roman"/>
          <w:kern w:val="0"/>
          <w:sz w:val="24"/>
          <w:szCs w:val="24"/>
        </w:rPr>
        <w:t xml:space="preserve">] deprived plaintiff </w:t>
      </w:r>
      <w:r w:rsidR="003719CF">
        <w:rPr>
          <w:rFonts w:ascii="Times New Roman" w:hAnsi="Times New Roman" w:cs="Times New Roman"/>
          <w:kern w:val="0"/>
          <w:sz w:val="24"/>
          <w:szCs w:val="24"/>
        </w:rPr>
        <w:t>[</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 xml:space="preserve">] </w:t>
      </w:r>
      <w:r w:rsidRPr="001B7C8C">
        <w:rPr>
          <w:rFonts w:ascii="Times New Roman" w:hAnsi="Times New Roman" w:cs="Times New Roman"/>
          <w:kern w:val="0"/>
          <w:sz w:val="24"/>
          <w:szCs w:val="24"/>
        </w:rPr>
        <w:t xml:space="preserve">of [his] [her] particular rights under [the laws of the United States] [the United States Constitution] as explained in later </w:t>
      </w:r>
      <w:proofErr w:type="gramStart"/>
      <w:r w:rsidRPr="001B7C8C">
        <w:rPr>
          <w:rFonts w:ascii="Times New Roman" w:hAnsi="Times New Roman" w:cs="Times New Roman"/>
          <w:kern w:val="0"/>
          <w:sz w:val="24"/>
          <w:szCs w:val="24"/>
        </w:rPr>
        <w:t>instructions;</w:t>
      </w:r>
      <w:proofErr w:type="gramEnd"/>
    </w:p>
    <w:p w14:paraId="1265D19A"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p>
    <w:p w14:paraId="6726BA7D" w14:textId="5C498C01" w:rsidR="001B7C8C" w:rsidRPr="001B7C8C" w:rsidRDefault="001B7C8C" w:rsidP="001B7C8C">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1B7C8C">
        <w:rPr>
          <w:rFonts w:ascii="Times New Roman" w:hAnsi="Times New Roman" w:cs="Times New Roman"/>
          <w:kern w:val="0"/>
          <w:sz w:val="24"/>
          <w:szCs w:val="24"/>
        </w:rPr>
        <w:tab/>
      </w:r>
      <w:r w:rsidR="003719CF">
        <w:rPr>
          <w:rFonts w:ascii="Times New Roman" w:hAnsi="Times New Roman" w:cs="Times New Roman"/>
          <w:kern w:val="0"/>
          <w:sz w:val="24"/>
          <w:szCs w:val="24"/>
        </w:rPr>
        <w:t xml:space="preserve">Third, </w:t>
      </w:r>
      <w:r w:rsidRPr="001B7C8C">
        <w:rPr>
          <w:rFonts w:ascii="Times New Roman" w:hAnsi="Times New Roman" w:cs="Times New Roman"/>
          <w:kern w:val="0"/>
          <w:sz w:val="24"/>
          <w:szCs w:val="24"/>
        </w:rPr>
        <w:t>[</w:t>
      </w:r>
      <w:r w:rsidRPr="001B7C8C">
        <w:rPr>
          <w:rFonts w:ascii="Times New Roman" w:hAnsi="Times New Roman" w:cs="Times New Roman"/>
          <w:i/>
          <w:iCs/>
          <w:kern w:val="0"/>
          <w:sz w:val="24"/>
          <w:szCs w:val="24"/>
          <w:u w:val="single"/>
        </w:rPr>
        <w:t>name of final policymaker</w:t>
      </w:r>
      <w:r w:rsidRPr="001B7C8C">
        <w:rPr>
          <w:rFonts w:ascii="Times New Roman" w:hAnsi="Times New Roman" w:cs="Times New Roman"/>
          <w:kern w:val="0"/>
          <w:sz w:val="24"/>
          <w:szCs w:val="24"/>
        </w:rPr>
        <w:t>] had final policymaking authority from defendant [</w:t>
      </w:r>
      <w:r w:rsidRPr="001B7C8C">
        <w:rPr>
          <w:rFonts w:ascii="Times New Roman" w:hAnsi="Times New Roman" w:cs="Times New Roman"/>
          <w:i/>
          <w:iCs/>
          <w:kern w:val="0"/>
          <w:sz w:val="24"/>
          <w:szCs w:val="24"/>
          <w:u w:val="single"/>
        </w:rPr>
        <w:t>name of local governing body</w:t>
      </w:r>
      <w:r w:rsidRPr="001B7C8C">
        <w:rPr>
          <w:rFonts w:ascii="Times New Roman" w:hAnsi="Times New Roman" w:cs="Times New Roman"/>
          <w:kern w:val="0"/>
          <w:sz w:val="24"/>
          <w:szCs w:val="24"/>
        </w:rPr>
        <w:t>] concerning these act[s</w:t>
      </w:r>
      <w:proofErr w:type="gramStart"/>
      <w:r w:rsidRPr="001B7C8C">
        <w:rPr>
          <w:rFonts w:ascii="Times New Roman" w:hAnsi="Times New Roman" w:cs="Times New Roman"/>
          <w:kern w:val="0"/>
          <w:sz w:val="24"/>
          <w:szCs w:val="24"/>
        </w:rPr>
        <w:t>];</w:t>
      </w:r>
      <w:proofErr w:type="gramEnd"/>
    </w:p>
    <w:p w14:paraId="53CD3A6E"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p>
    <w:p w14:paraId="034772D2" w14:textId="0C8CF695" w:rsidR="001B7C8C" w:rsidRPr="001B7C8C" w:rsidRDefault="001B7C8C" w:rsidP="001B7C8C">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1B7C8C">
        <w:rPr>
          <w:rFonts w:ascii="Times New Roman" w:hAnsi="Times New Roman" w:cs="Times New Roman"/>
          <w:kern w:val="0"/>
          <w:sz w:val="24"/>
          <w:szCs w:val="24"/>
        </w:rPr>
        <w:tab/>
      </w:r>
      <w:r w:rsidR="003719CF">
        <w:rPr>
          <w:rFonts w:ascii="Times New Roman" w:hAnsi="Times New Roman" w:cs="Times New Roman"/>
          <w:kern w:val="0"/>
          <w:sz w:val="24"/>
          <w:szCs w:val="24"/>
        </w:rPr>
        <w:t xml:space="preserve">Fourth, </w:t>
      </w:r>
      <w:r w:rsidRPr="001B7C8C">
        <w:rPr>
          <w:rFonts w:ascii="Times New Roman" w:hAnsi="Times New Roman" w:cs="Times New Roman"/>
          <w:kern w:val="0"/>
          <w:sz w:val="24"/>
          <w:szCs w:val="24"/>
        </w:rPr>
        <w:t>when [</w:t>
      </w:r>
      <w:r w:rsidRPr="001B7C8C">
        <w:rPr>
          <w:rFonts w:ascii="Times New Roman" w:hAnsi="Times New Roman" w:cs="Times New Roman"/>
          <w:i/>
          <w:iCs/>
          <w:kern w:val="0"/>
          <w:sz w:val="24"/>
          <w:szCs w:val="24"/>
          <w:u w:val="single"/>
        </w:rPr>
        <w:t>name of final policymaker</w:t>
      </w:r>
      <w:r w:rsidRPr="001B7C8C">
        <w:rPr>
          <w:rFonts w:ascii="Times New Roman" w:hAnsi="Times New Roman" w:cs="Times New Roman"/>
          <w:kern w:val="0"/>
          <w:sz w:val="24"/>
          <w:szCs w:val="24"/>
        </w:rPr>
        <w:t>] engaged in these act[s], [</w:t>
      </w:r>
      <w:r w:rsidRPr="001B7C8C">
        <w:rPr>
          <w:rFonts w:ascii="Times New Roman" w:hAnsi="Times New Roman" w:cs="Times New Roman"/>
          <w:i/>
          <w:iCs/>
          <w:kern w:val="0"/>
          <w:sz w:val="24"/>
          <w:szCs w:val="24"/>
          <w:u w:val="single"/>
        </w:rPr>
        <w:t>name of final policymaker</w:t>
      </w:r>
      <w:r w:rsidRPr="001B7C8C">
        <w:rPr>
          <w:rFonts w:ascii="Times New Roman" w:hAnsi="Times New Roman" w:cs="Times New Roman"/>
          <w:kern w:val="0"/>
          <w:sz w:val="24"/>
          <w:szCs w:val="24"/>
        </w:rPr>
        <w:t>] was acting as a final policymaker for defendant [</w:t>
      </w:r>
      <w:r w:rsidRPr="001B7C8C">
        <w:rPr>
          <w:rFonts w:ascii="Times New Roman" w:hAnsi="Times New Roman" w:cs="Times New Roman"/>
          <w:i/>
          <w:iCs/>
          <w:kern w:val="0"/>
          <w:sz w:val="24"/>
          <w:szCs w:val="24"/>
          <w:u w:val="single"/>
        </w:rPr>
        <w:t>name of local governing body</w:t>
      </w:r>
      <w:r w:rsidRPr="001B7C8C">
        <w:rPr>
          <w:rFonts w:ascii="Times New Roman" w:hAnsi="Times New Roman" w:cs="Times New Roman"/>
          <w:kern w:val="0"/>
          <w:sz w:val="24"/>
          <w:szCs w:val="24"/>
        </w:rPr>
        <w:t>]; and</w:t>
      </w:r>
    </w:p>
    <w:p w14:paraId="670C8222"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p>
    <w:p w14:paraId="65E933C2" w14:textId="18C06FFE" w:rsidR="001B7C8C" w:rsidRPr="001B7C8C" w:rsidRDefault="001B7C8C" w:rsidP="001B7C8C">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1B7C8C">
        <w:rPr>
          <w:rFonts w:ascii="Times New Roman" w:hAnsi="Times New Roman" w:cs="Times New Roman"/>
          <w:kern w:val="0"/>
          <w:sz w:val="24"/>
          <w:szCs w:val="24"/>
        </w:rPr>
        <w:tab/>
      </w:r>
      <w:r w:rsidR="003719CF">
        <w:rPr>
          <w:rFonts w:ascii="Times New Roman" w:hAnsi="Times New Roman" w:cs="Times New Roman"/>
          <w:kern w:val="0"/>
          <w:sz w:val="24"/>
          <w:szCs w:val="24"/>
        </w:rPr>
        <w:t xml:space="preserve">Fifth, </w:t>
      </w:r>
      <w:r w:rsidRPr="001B7C8C">
        <w:rPr>
          <w:rFonts w:ascii="Times New Roman" w:hAnsi="Times New Roman" w:cs="Times New Roman"/>
          <w:kern w:val="0"/>
          <w:sz w:val="24"/>
          <w:szCs w:val="24"/>
        </w:rPr>
        <w:t>the [act[s] of [</w:t>
      </w:r>
      <w:r w:rsidRPr="001B7C8C">
        <w:rPr>
          <w:rFonts w:ascii="Times New Roman" w:hAnsi="Times New Roman" w:cs="Times New Roman"/>
          <w:i/>
          <w:iCs/>
          <w:kern w:val="0"/>
          <w:sz w:val="24"/>
          <w:szCs w:val="24"/>
          <w:u w:val="single"/>
        </w:rPr>
        <w:t>name of final policymaker</w:t>
      </w:r>
      <w:r w:rsidRPr="001B7C8C">
        <w:rPr>
          <w:rFonts w:ascii="Times New Roman" w:hAnsi="Times New Roman" w:cs="Times New Roman"/>
          <w:kern w:val="0"/>
          <w:sz w:val="24"/>
          <w:szCs w:val="24"/>
        </w:rPr>
        <w:t>] caused the deprivation of plaintiff</w:t>
      </w:r>
      <w:r w:rsidR="003719CF">
        <w:rPr>
          <w:rFonts w:ascii="Times New Roman" w:hAnsi="Times New Roman" w:cs="Times New Roman"/>
          <w:kern w:val="0"/>
          <w:sz w:val="24"/>
          <w:szCs w:val="24"/>
        </w:rPr>
        <w:t xml:space="preserve"> [</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w:t>
      </w:r>
      <w:r w:rsidRPr="001B7C8C">
        <w:rPr>
          <w:rFonts w:ascii="Times New Roman" w:hAnsi="Times New Roman" w:cs="Times New Roman"/>
          <w:kern w:val="0"/>
          <w:sz w:val="24"/>
          <w:szCs w:val="24"/>
        </w:rPr>
        <w:t xml:space="preserve">’s rights; that is, the </w:t>
      </w:r>
      <w:r w:rsidRPr="001B7C8C">
        <w:rPr>
          <w:rFonts w:ascii="Times New Roman" w:hAnsi="Times New Roman" w:cs="Times New Roman"/>
          <w:kern w:val="0"/>
          <w:sz w:val="24"/>
          <w:szCs w:val="24"/>
          <w:u w:val="single"/>
        </w:rPr>
        <w:t>[</w:t>
      </w:r>
      <w:r w:rsidRPr="001B7C8C">
        <w:rPr>
          <w:rFonts w:ascii="Times New Roman" w:hAnsi="Times New Roman" w:cs="Times New Roman"/>
          <w:i/>
          <w:iCs/>
          <w:kern w:val="0"/>
          <w:sz w:val="24"/>
          <w:szCs w:val="24"/>
          <w:u w:val="single"/>
        </w:rPr>
        <w:t>name of final policymaker</w:t>
      </w:r>
      <w:r w:rsidRPr="001B7C8C">
        <w:rPr>
          <w:rFonts w:ascii="Times New Roman" w:hAnsi="Times New Roman" w:cs="Times New Roman"/>
          <w:kern w:val="0"/>
          <w:sz w:val="24"/>
          <w:szCs w:val="24"/>
        </w:rPr>
        <w:t>]’s act[s] [was] [were] so closely related to the deprivation of plaintiff</w:t>
      </w:r>
      <w:r w:rsidR="003719CF">
        <w:rPr>
          <w:rFonts w:ascii="Times New Roman" w:hAnsi="Times New Roman" w:cs="Times New Roman"/>
          <w:kern w:val="0"/>
          <w:sz w:val="24"/>
          <w:szCs w:val="24"/>
        </w:rPr>
        <w:t xml:space="preserve"> [</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w:t>
      </w:r>
      <w:r w:rsidRPr="001B7C8C">
        <w:rPr>
          <w:rFonts w:ascii="Times New Roman" w:hAnsi="Times New Roman" w:cs="Times New Roman"/>
          <w:kern w:val="0"/>
          <w:sz w:val="24"/>
          <w:szCs w:val="24"/>
        </w:rPr>
        <w:t>’s rights as to be the moving force that caused the ultimate injury.</w:t>
      </w:r>
    </w:p>
    <w:p w14:paraId="3E738F6A"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p>
    <w:p w14:paraId="7251AB99" w14:textId="2995230A"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r w:rsidRPr="001B7C8C">
        <w:rPr>
          <w:rFonts w:ascii="Times New Roman" w:hAnsi="Times New Roman" w:cs="Times New Roman"/>
          <w:kern w:val="0"/>
          <w:sz w:val="24"/>
          <w:szCs w:val="24"/>
        </w:rPr>
        <w:tab/>
        <w:t>A person acts “under color of state law” when the person acts or purports to act in the performance of official duties under any state, county, or municipal law, ordinance or regulation. [[The parties have stipulated that] [I instruct you that] defendant</w:t>
      </w:r>
      <w:r w:rsidR="003719CF">
        <w:rPr>
          <w:rFonts w:ascii="Times New Roman" w:hAnsi="Times New Roman" w:cs="Times New Roman"/>
          <w:kern w:val="0"/>
          <w:sz w:val="24"/>
          <w:szCs w:val="24"/>
        </w:rPr>
        <w:t xml:space="preserve"> [</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w:t>
      </w:r>
      <w:r w:rsidRPr="001B7C8C">
        <w:rPr>
          <w:rFonts w:ascii="Times New Roman" w:hAnsi="Times New Roman" w:cs="Times New Roman"/>
          <w:kern w:val="0"/>
          <w:sz w:val="24"/>
          <w:szCs w:val="24"/>
        </w:rPr>
        <w:t>’s [official] [employee] acted under color of state law.]</w:t>
      </w:r>
    </w:p>
    <w:p w14:paraId="42310178"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p>
    <w:p w14:paraId="6D124038"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r w:rsidRPr="001B7C8C">
        <w:rPr>
          <w:rFonts w:ascii="Times New Roman" w:hAnsi="Times New Roman" w:cs="Times New Roman"/>
          <w:kern w:val="0"/>
          <w:sz w:val="24"/>
          <w:szCs w:val="24"/>
        </w:rPr>
        <w:tab/>
        <w:t>I instruct you that [</w:t>
      </w:r>
      <w:r w:rsidRPr="001B7C8C">
        <w:rPr>
          <w:rFonts w:ascii="Times New Roman" w:hAnsi="Times New Roman" w:cs="Times New Roman"/>
          <w:i/>
          <w:iCs/>
          <w:kern w:val="0"/>
          <w:sz w:val="24"/>
          <w:szCs w:val="24"/>
          <w:u w:val="single"/>
        </w:rPr>
        <w:t>name of final policymaker</w:t>
      </w:r>
      <w:r w:rsidRPr="001B7C8C">
        <w:rPr>
          <w:rFonts w:ascii="Times New Roman" w:hAnsi="Times New Roman" w:cs="Times New Roman"/>
          <w:kern w:val="0"/>
          <w:sz w:val="24"/>
          <w:szCs w:val="24"/>
        </w:rPr>
        <w:t>] had final policymaking authority from defendant [</w:t>
      </w:r>
      <w:r w:rsidRPr="001B7C8C">
        <w:rPr>
          <w:rFonts w:ascii="Times New Roman" w:hAnsi="Times New Roman" w:cs="Times New Roman"/>
          <w:i/>
          <w:iCs/>
          <w:kern w:val="0"/>
          <w:sz w:val="24"/>
          <w:szCs w:val="24"/>
          <w:u w:val="single"/>
        </w:rPr>
        <w:t>name of local governing body</w:t>
      </w:r>
      <w:r w:rsidRPr="001B7C8C">
        <w:rPr>
          <w:rFonts w:ascii="Times New Roman" w:hAnsi="Times New Roman" w:cs="Times New Roman"/>
          <w:kern w:val="0"/>
          <w:sz w:val="24"/>
          <w:szCs w:val="24"/>
        </w:rPr>
        <w:t xml:space="preserve">] concerning the act[s] at issue and, therefore, the third element requires no proof. </w:t>
      </w:r>
    </w:p>
    <w:p w14:paraId="70368633"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pPr>
    </w:p>
    <w:p w14:paraId="76C7350E" w14:textId="77777777" w:rsidR="001B7C8C" w:rsidRPr="001B7C8C" w:rsidRDefault="001B7C8C" w:rsidP="001B7C8C">
      <w:pPr>
        <w:autoSpaceDE w:val="0"/>
        <w:autoSpaceDN w:val="0"/>
        <w:adjustRightInd w:val="0"/>
        <w:spacing w:after="0" w:line="240" w:lineRule="auto"/>
        <w:rPr>
          <w:rFonts w:ascii="Times New Roman" w:hAnsi="Times New Roman" w:cs="Times New Roman"/>
          <w:kern w:val="0"/>
          <w:sz w:val="24"/>
          <w:szCs w:val="24"/>
        </w:rPr>
        <w:sectPr w:rsidR="001B7C8C" w:rsidRPr="001B7C8C" w:rsidSect="001B7C8C">
          <w:footerReference w:type="default" r:id="rId6"/>
          <w:pgSz w:w="12240" w:h="15840"/>
          <w:pgMar w:top="1440" w:right="1440" w:bottom="1440" w:left="1440" w:header="1112" w:footer="1440" w:gutter="0"/>
          <w:cols w:space="720"/>
          <w:noEndnote/>
          <w:titlePg/>
        </w:sectPr>
      </w:pPr>
    </w:p>
    <w:p w14:paraId="534B54E4" w14:textId="69817C95"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1B7C8C">
        <w:rPr>
          <w:rFonts w:ascii="Times New Roman" w:hAnsi="Times New Roman" w:cs="Times New Roman"/>
          <w:kern w:val="0"/>
          <w:sz w:val="24"/>
          <w:szCs w:val="24"/>
        </w:rPr>
        <w:tab/>
        <w:t>If you find that plaintiff</w:t>
      </w:r>
      <w:r w:rsidR="003719CF">
        <w:rPr>
          <w:rFonts w:ascii="Times New Roman" w:hAnsi="Times New Roman" w:cs="Times New Roman"/>
          <w:kern w:val="0"/>
          <w:sz w:val="24"/>
          <w:szCs w:val="24"/>
        </w:rPr>
        <w:t xml:space="preserve"> [</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w:t>
      </w:r>
      <w:r w:rsidRPr="001B7C8C">
        <w:rPr>
          <w:rFonts w:ascii="Times New Roman" w:hAnsi="Times New Roman" w:cs="Times New Roman"/>
          <w:kern w:val="0"/>
          <w:sz w:val="24"/>
          <w:szCs w:val="24"/>
        </w:rPr>
        <w:t xml:space="preserve"> has proved each of these elements, and if you find that plaintiff</w:t>
      </w:r>
      <w:r w:rsidR="003719CF">
        <w:rPr>
          <w:rFonts w:ascii="Times New Roman" w:hAnsi="Times New Roman" w:cs="Times New Roman"/>
          <w:kern w:val="0"/>
          <w:sz w:val="24"/>
          <w:szCs w:val="24"/>
        </w:rPr>
        <w:t xml:space="preserve"> [</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w:t>
      </w:r>
      <w:r w:rsidRPr="001B7C8C">
        <w:rPr>
          <w:rFonts w:ascii="Times New Roman" w:hAnsi="Times New Roman" w:cs="Times New Roman"/>
          <w:kern w:val="0"/>
          <w:sz w:val="24"/>
          <w:szCs w:val="24"/>
        </w:rPr>
        <w:t xml:space="preserve"> has proved all the elements </w:t>
      </w:r>
      <w:r>
        <w:rPr>
          <w:rFonts w:ascii="Times New Roman" w:hAnsi="Times New Roman" w:cs="Times New Roman"/>
          <w:kern w:val="0"/>
          <w:sz w:val="24"/>
          <w:szCs w:val="24"/>
        </w:rPr>
        <w:t>plaintiff</w:t>
      </w:r>
      <w:r w:rsidRPr="001B7C8C">
        <w:rPr>
          <w:rFonts w:ascii="Times New Roman" w:hAnsi="Times New Roman" w:cs="Times New Roman"/>
          <w:kern w:val="0"/>
          <w:sz w:val="24"/>
          <w:szCs w:val="24"/>
        </w:rPr>
        <w:t xml:space="preserve"> </w:t>
      </w:r>
      <w:r w:rsidR="003719CF">
        <w:rPr>
          <w:rFonts w:ascii="Times New Roman" w:hAnsi="Times New Roman" w:cs="Times New Roman"/>
          <w:kern w:val="0"/>
          <w:sz w:val="24"/>
          <w:szCs w:val="24"/>
        </w:rPr>
        <w:t>[</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 xml:space="preserve">] </w:t>
      </w:r>
      <w:r w:rsidRPr="001B7C8C">
        <w:rPr>
          <w:rFonts w:ascii="Times New Roman" w:hAnsi="Times New Roman" w:cs="Times New Roman"/>
          <w:kern w:val="0"/>
          <w:sz w:val="24"/>
          <w:szCs w:val="24"/>
        </w:rPr>
        <w:t>is required to prove under Instruction[s] [</w:t>
      </w:r>
      <w:r w:rsidRPr="001B7C8C">
        <w:rPr>
          <w:rFonts w:ascii="Times New Roman" w:hAnsi="Times New Roman" w:cs="Times New Roman"/>
          <w:i/>
          <w:iCs/>
          <w:kern w:val="0"/>
          <w:sz w:val="24"/>
          <w:szCs w:val="24"/>
          <w:u w:val="single"/>
        </w:rPr>
        <w:t>specify the instruction[s] that deal with the particular right[s]</w:t>
      </w:r>
      <w:r w:rsidRPr="001B7C8C">
        <w:rPr>
          <w:rFonts w:ascii="Times New Roman" w:hAnsi="Times New Roman" w:cs="Times New Roman"/>
          <w:kern w:val="0"/>
          <w:sz w:val="24"/>
          <w:szCs w:val="24"/>
        </w:rPr>
        <w:t>], your verdict should be for plaintiff</w:t>
      </w:r>
      <w:r w:rsidR="003719CF">
        <w:rPr>
          <w:rFonts w:ascii="Times New Roman" w:hAnsi="Times New Roman" w:cs="Times New Roman"/>
          <w:kern w:val="0"/>
          <w:sz w:val="24"/>
          <w:szCs w:val="24"/>
        </w:rPr>
        <w:t xml:space="preserve"> [</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w:t>
      </w:r>
      <w:r w:rsidRPr="001B7C8C">
        <w:rPr>
          <w:rFonts w:ascii="Times New Roman" w:hAnsi="Times New Roman" w:cs="Times New Roman"/>
          <w:kern w:val="0"/>
          <w:sz w:val="24"/>
          <w:szCs w:val="24"/>
        </w:rPr>
        <w:t xml:space="preserve">.  If, on the other hand, plaintiff </w:t>
      </w:r>
      <w:r w:rsidR="003719CF">
        <w:rPr>
          <w:rFonts w:ascii="Times New Roman" w:hAnsi="Times New Roman" w:cs="Times New Roman"/>
          <w:kern w:val="0"/>
          <w:sz w:val="24"/>
          <w:szCs w:val="24"/>
        </w:rPr>
        <w:t>[</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 xml:space="preserve">] </w:t>
      </w:r>
      <w:r w:rsidRPr="001B7C8C">
        <w:rPr>
          <w:rFonts w:ascii="Times New Roman" w:hAnsi="Times New Roman" w:cs="Times New Roman"/>
          <w:kern w:val="0"/>
          <w:sz w:val="24"/>
          <w:szCs w:val="24"/>
        </w:rPr>
        <w:t>has failed to prove any one or more of these elements, your verdict should be for defendant</w:t>
      </w:r>
      <w:r w:rsidR="003719CF">
        <w:rPr>
          <w:rFonts w:ascii="Times New Roman" w:hAnsi="Times New Roman" w:cs="Times New Roman"/>
          <w:kern w:val="0"/>
          <w:sz w:val="24"/>
          <w:szCs w:val="24"/>
        </w:rPr>
        <w:t xml:space="preserve"> [</w:t>
      </w:r>
      <w:r w:rsidR="003719CF" w:rsidRPr="003719CF">
        <w:rPr>
          <w:rFonts w:ascii="Times New Roman" w:hAnsi="Times New Roman" w:cs="Times New Roman"/>
          <w:i/>
          <w:iCs/>
          <w:kern w:val="0"/>
          <w:sz w:val="24"/>
          <w:szCs w:val="24"/>
          <w:u w:val="single"/>
        </w:rPr>
        <w:t>name</w:t>
      </w:r>
      <w:r w:rsidR="003719CF">
        <w:rPr>
          <w:rFonts w:ascii="Times New Roman" w:hAnsi="Times New Roman" w:cs="Times New Roman"/>
          <w:kern w:val="0"/>
          <w:sz w:val="24"/>
          <w:szCs w:val="24"/>
        </w:rPr>
        <w:t>]</w:t>
      </w:r>
      <w:r w:rsidRPr="001B7C8C">
        <w:rPr>
          <w:rFonts w:ascii="Times New Roman" w:hAnsi="Times New Roman" w:cs="Times New Roman"/>
          <w:kern w:val="0"/>
          <w:sz w:val="24"/>
          <w:szCs w:val="24"/>
        </w:rPr>
        <w:t>.</w:t>
      </w:r>
    </w:p>
    <w:p w14:paraId="0C04A3F2"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p>
    <w:p w14:paraId="29122AB8"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center"/>
        <w:rPr>
          <w:rFonts w:ascii="Times New Roman" w:hAnsi="Times New Roman" w:cs="Times New Roman"/>
          <w:b/>
          <w:bCs/>
          <w:kern w:val="0"/>
          <w:sz w:val="24"/>
          <w:szCs w:val="24"/>
        </w:rPr>
      </w:pPr>
      <w:r w:rsidRPr="001B7C8C">
        <w:rPr>
          <w:rFonts w:ascii="Times New Roman" w:hAnsi="Times New Roman" w:cs="Times New Roman"/>
          <w:b/>
          <w:bCs/>
          <w:kern w:val="0"/>
          <w:sz w:val="24"/>
          <w:szCs w:val="24"/>
        </w:rPr>
        <w:t>Comment</w:t>
      </w:r>
    </w:p>
    <w:p w14:paraId="38FDAA56"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bCs/>
          <w:kern w:val="0"/>
          <w:sz w:val="24"/>
          <w:szCs w:val="24"/>
        </w:rPr>
      </w:pPr>
    </w:p>
    <w:p w14:paraId="767C88BE"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1B7C8C">
        <w:rPr>
          <w:rFonts w:ascii="Times New Roman" w:hAnsi="Times New Roman" w:cs="Times New Roman"/>
          <w:b/>
          <w:bCs/>
          <w:kern w:val="0"/>
          <w:sz w:val="24"/>
          <w:szCs w:val="24"/>
        </w:rPr>
        <w:tab/>
      </w:r>
      <w:r w:rsidRPr="001B7C8C">
        <w:rPr>
          <w:rFonts w:ascii="Times New Roman" w:hAnsi="Times New Roman" w:cs="Times New Roman"/>
          <w:kern w:val="0"/>
          <w:sz w:val="24"/>
          <w:szCs w:val="24"/>
        </w:rPr>
        <w:t xml:space="preserve">Use this instruction only in conjunction with an applicable “particular rights” instruction, such as Instructions 9.9–9.33.  Such an instruction should set forth the additional elements a </w:t>
      </w:r>
      <w:r w:rsidRPr="001B7C8C">
        <w:rPr>
          <w:rFonts w:ascii="Times New Roman" w:hAnsi="Times New Roman" w:cs="Times New Roman"/>
          <w:kern w:val="0"/>
          <w:sz w:val="24"/>
          <w:szCs w:val="24"/>
        </w:rPr>
        <w:lastRenderedPageBreak/>
        <w:t xml:space="preserve">plaintiff must establish to prove the violation of the particular constitutional right or federal law at issue. </w:t>
      </w:r>
    </w:p>
    <w:p w14:paraId="2296E99F"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p>
    <w:p w14:paraId="128D3156"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bCs/>
          <w:kern w:val="0"/>
          <w:sz w:val="24"/>
          <w:szCs w:val="24"/>
        </w:rPr>
      </w:pPr>
      <w:r w:rsidRPr="001B7C8C">
        <w:rPr>
          <w:rFonts w:ascii="Times New Roman" w:hAnsi="Times New Roman" w:cs="Times New Roman"/>
          <w:kern w:val="0"/>
          <w:sz w:val="24"/>
          <w:szCs w:val="24"/>
        </w:rPr>
        <w:tab/>
        <w:t xml:space="preserve">In addition, use this instruction only when </w:t>
      </w:r>
      <w:r w:rsidRPr="001B7C8C">
        <w:rPr>
          <w:rFonts w:ascii="Times New Roman" w:hAnsi="Times New Roman" w:cs="Times New Roman"/>
          <w:i/>
          <w:iCs/>
          <w:kern w:val="0"/>
          <w:sz w:val="24"/>
          <w:szCs w:val="24"/>
        </w:rPr>
        <w:t>Monell</w:t>
      </w:r>
      <w:r w:rsidRPr="001B7C8C">
        <w:rPr>
          <w:rFonts w:ascii="Times New Roman" w:hAnsi="Times New Roman" w:cs="Times New Roman"/>
          <w:kern w:val="0"/>
          <w:sz w:val="24"/>
          <w:szCs w:val="24"/>
        </w:rPr>
        <w:t xml:space="preserve"> liability is based on the acts of a final policymaker.  For other bases of </w:t>
      </w:r>
      <w:r w:rsidRPr="001B7C8C">
        <w:rPr>
          <w:rFonts w:ascii="Times New Roman" w:hAnsi="Times New Roman" w:cs="Times New Roman"/>
          <w:i/>
          <w:iCs/>
          <w:kern w:val="0"/>
          <w:sz w:val="24"/>
          <w:szCs w:val="24"/>
        </w:rPr>
        <w:t xml:space="preserve">Monell </w:t>
      </w:r>
      <w:r w:rsidRPr="001B7C8C">
        <w:rPr>
          <w:rFonts w:ascii="Times New Roman" w:hAnsi="Times New Roman" w:cs="Times New Roman"/>
          <w:kern w:val="0"/>
          <w:sz w:val="24"/>
          <w:szCs w:val="24"/>
        </w:rPr>
        <w:t xml:space="preserve">liability, </w:t>
      </w:r>
      <w:r w:rsidRPr="001B7C8C">
        <w:rPr>
          <w:rFonts w:ascii="Times New Roman" w:hAnsi="Times New Roman" w:cs="Times New Roman"/>
          <w:i/>
          <w:iCs/>
          <w:kern w:val="0"/>
          <w:sz w:val="24"/>
          <w:szCs w:val="24"/>
        </w:rPr>
        <w:t>see</w:t>
      </w:r>
      <w:r w:rsidRPr="001B7C8C">
        <w:rPr>
          <w:rFonts w:ascii="Times New Roman" w:hAnsi="Times New Roman" w:cs="Times New Roman"/>
          <w:kern w:val="0"/>
          <w:sz w:val="24"/>
          <w:szCs w:val="24"/>
        </w:rPr>
        <w:t xml:space="preserve"> Instructions 9.5 (Section 1983 Claim Against Local Governing Body Defendants Based on Unlawful Official Policy, Practice, or Custom—Elements and Burden of Proof), 9.7 (Section 1983 Claim Against Local Governing Body Defendants Based on Ratification—Elements and Burden of Proof), and 9.8 (Section 1983 Claim Against Local Governing Body Defendants Based on a Policy that Fails to Prevent Violations of Law or a Policy of Failure to Train—Elements and Burden of Proof).</w:t>
      </w:r>
    </w:p>
    <w:p w14:paraId="4DAA690A"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bCs/>
          <w:kern w:val="0"/>
          <w:sz w:val="24"/>
          <w:szCs w:val="24"/>
        </w:rPr>
      </w:pPr>
    </w:p>
    <w:p w14:paraId="300B0E95" w14:textId="3E3F0E37" w:rsid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1B7C8C">
        <w:rPr>
          <w:rFonts w:ascii="Times New Roman" w:hAnsi="Times New Roman" w:cs="Times New Roman"/>
          <w:b/>
          <w:bCs/>
          <w:kern w:val="0"/>
          <w:sz w:val="24"/>
          <w:szCs w:val="24"/>
        </w:rPr>
        <w:tab/>
      </w:r>
      <w:r w:rsidRPr="001B7C8C">
        <w:rPr>
          <w:rFonts w:ascii="Times New Roman" w:hAnsi="Times New Roman" w:cs="Times New Roman"/>
          <w:kern w:val="0"/>
          <w:sz w:val="24"/>
          <w:szCs w:val="24"/>
        </w:rPr>
        <w:t xml:space="preserve">As noted in the Introductory Comment to this chapter, § 1983 liability of a local governing body may not be based on </w:t>
      </w:r>
      <w:proofErr w:type="spellStart"/>
      <w:r w:rsidRPr="001B7C8C">
        <w:rPr>
          <w:rFonts w:ascii="Times New Roman" w:hAnsi="Times New Roman" w:cs="Times New Roman"/>
          <w:i/>
          <w:iCs/>
          <w:kern w:val="0"/>
          <w:sz w:val="24"/>
          <w:szCs w:val="24"/>
        </w:rPr>
        <w:t>respondeat</w:t>
      </w:r>
      <w:proofErr w:type="spellEnd"/>
      <w:r w:rsidRPr="001B7C8C">
        <w:rPr>
          <w:rFonts w:ascii="Times New Roman" w:hAnsi="Times New Roman" w:cs="Times New Roman"/>
          <w:kern w:val="0"/>
          <w:sz w:val="24"/>
          <w:szCs w:val="24"/>
        </w:rPr>
        <w:t xml:space="preserve"> </w:t>
      </w:r>
      <w:r w:rsidRPr="001B7C8C">
        <w:rPr>
          <w:rFonts w:ascii="Times New Roman" w:hAnsi="Times New Roman" w:cs="Times New Roman"/>
          <w:i/>
          <w:iCs/>
          <w:kern w:val="0"/>
          <w:sz w:val="24"/>
          <w:szCs w:val="24"/>
        </w:rPr>
        <w:t>superior</w:t>
      </w:r>
      <w:r w:rsidRPr="001B7C8C">
        <w:rPr>
          <w:rFonts w:ascii="Times New Roman" w:hAnsi="Times New Roman" w:cs="Times New Roman"/>
          <w:kern w:val="0"/>
          <w:sz w:val="24"/>
          <w:szCs w:val="24"/>
        </w:rPr>
        <w:t xml:space="preserve">.  </w:t>
      </w:r>
      <w:r w:rsidRPr="001B7C8C">
        <w:rPr>
          <w:rFonts w:ascii="Times New Roman" w:hAnsi="Times New Roman" w:cs="Times New Roman"/>
          <w:i/>
          <w:iCs/>
          <w:kern w:val="0"/>
          <w:sz w:val="24"/>
          <w:szCs w:val="24"/>
        </w:rPr>
        <w:t xml:space="preserve">Monell v. </w:t>
      </w:r>
      <w:proofErr w:type="spellStart"/>
      <w:r w:rsidRPr="001B7C8C">
        <w:rPr>
          <w:rFonts w:ascii="Times New Roman" w:hAnsi="Times New Roman" w:cs="Times New Roman"/>
          <w:i/>
          <w:iCs/>
          <w:kern w:val="0"/>
          <w:sz w:val="24"/>
          <w:szCs w:val="24"/>
        </w:rPr>
        <w:t>Dep’t</w:t>
      </w:r>
      <w:proofErr w:type="spellEnd"/>
      <w:r w:rsidRPr="001B7C8C">
        <w:rPr>
          <w:rFonts w:ascii="Times New Roman" w:hAnsi="Times New Roman" w:cs="Times New Roman"/>
          <w:i/>
          <w:iCs/>
          <w:kern w:val="0"/>
          <w:sz w:val="24"/>
          <w:szCs w:val="24"/>
        </w:rPr>
        <w:t xml:space="preserve"> of Soc. Servs. of N.Y.</w:t>
      </w:r>
      <w:r w:rsidRPr="001B7C8C">
        <w:rPr>
          <w:rFonts w:ascii="Times New Roman" w:hAnsi="Times New Roman" w:cs="Times New Roman"/>
          <w:kern w:val="0"/>
          <w:sz w:val="24"/>
          <w:szCs w:val="24"/>
        </w:rPr>
        <w:t xml:space="preserve">, 436 U.S. 658, 691 (1978).  Such liability may attach when the official or employee who caused a constitutional violation was acting as a “final policymaker.” </w:t>
      </w:r>
      <w:r w:rsidRPr="001B7C8C">
        <w:rPr>
          <w:rFonts w:ascii="Times New Roman" w:hAnsi="Times New Roman" w:cs="Times New Roman"/>
          <w:i/>
          <w:iCs/>
          <w:kern w:val="0"/>
          <w:sz w:val="24"/>
          <w:szCs w:val="24"/>
        </w:rPr>
        <w:t>Barone v. City of Springfield</w:t>
      </w:r>
      <w:r w:rsidRPr="001B7C8C">
        <w:rPr>
          <w:rFonts w:ascii="Times New Roman" w:hAnsi="Times New Roman" w:cs="Times New Roman"/>
          <w:kern w:val="0"/>
          <w:sz w:val="24"/>
          <w:szCs w:val="24"/>
        </w:rPr>
        <w:t xml:space="preserve">, 902 F.3d 1091, 1107 (9th Cir. 2018) (citing </w:t>
      </w:r>
      <w:r w:rsidRPr="001B7C8C">
        <w:rPr>
          <w:rFonts w:ascii="Times New Roman" w:hAnsi="Times New Roman" w:cs="Times New Roman"/>
          <w:i/>
          <w:iCs/>
          <w:kern w:val="0"/>
          <w:sz w:val="24"/>
          <w:szCs w:val="24"/>
        </w:rPr>
        <w:t>Lytle v. Carl</w:t>
      </w:r>
      <w:r w:rsidRPr="001B7C8C">
        <w:rPr>
          <w:rFonts w:ascii="Times New Roman" w:hAnsi="Times New Roman" w:cs="Times New Roman"/>
          <w:kern w:val="0"/>
          <w:sz w:val="24"/>
          <w:szCs w:val="24"/>
        </w:rPr>
        <w:t>, 382 F.3d 978, 981 (9th Cir. 2004</w:t>
      </w:r>
      <w:r>
        <w:rPr>
          <w:rFonts w:ascii="Times New Roman" w:hAnsi="Times New Roman" w:cs="Times New Roman"/>
          <w:kern w:val="0"/>
          <w:sz w:val="24"/>
          <w:szCs w:val="24"/>
        </w:rPr>
        <w:t>)</w:t>
      </w:r>
      <w:r w:rsidRPr="001B7C8C">
        <w:rPr>
          <w:rFonts w:ascii="Times New Roman" w:hAnsi="Times New Roman" w:cs="Times New Roman"/>
          <w:kern w:val="0"/>
          <w:sz w:val="24"/>
          <w:szCs w:val="24"/>
        </w:rPr>
        <w:t xml:space="preserve">).  “To hold a local governing body liable for an official’s conduct, a plaintiff must first show that the official (1) had final policymaking authority concerning the action … at issue; and (2) was the policymaker for the local governing body for the purposes of the particular act.” </w:t>
      </w:r>
      <w:r w:rsidRPr="001B7C8C">
        <w:rPr>
          <w:rFonts w:ascii="Times New Roman" w:hAnsi="Times New Roman" w:cs="Times New Roman"/>
          <w:i/>
          <w:iCs/>
          <w:kern w:val="0"/>
          <w:sz w:val="24"/>
          <w:szCs w:val="24"/>
        </w:rPr>
        <w:t>Goldstein v. City of Long Beach</w:t>
      </w:r>
      <w:r w:rsidRPr="001B7C8C">
        <w:rPr>
          <w:rFonts w:ascii="Times New Roman" w:hAnsi="Times New Roman" w:cs="Times New Roman"/>
          <w:kern w:val="0"/>
          <w:sz w:val="24"/>
          <w:szCs w:val="24"/>
        </w:rPr>
        <w:t>, 715 F.3d 750, 753 (9th Cir. 2013)</w:t>
      </w:r>
      <w:r w:rsidR="007A238E">
        <w:rPr>
          <w:rFonts w:ascii="Times New Roman" w:hAnsi="Times New Roman" w:cs="Times New Roman"/>
          <w:kern w:val="0"/>
          <w:sz w:val="24"/>
          <w:szCs w:val="24"/>
        </w:rPr>
        <w:t>;</w:t>
      </w:r>
      <w:r w:rsidR="007A238E" w:rsidRPr="005E25A9">
        <w:rPr>
          <w:rFonts w:ascii="Times New Roman" w:eastAsiaTheme="minorEastAsia" w:hAnsi="Times New Roman" w:cs="Times New Roman"/>
          <w:i/>
          <w:iCs/>
          <w:kern w:val="0"/>
          <w:sz w:val="24"/>
          <w:szCs w:val="24"/>
          <w:shd w:val="clear" w:color="auto" w:fill="FFFFFF"/>
          <w14:ligatures w14:val="none"/>
        </w:rPr>
        <w:t xml:space="preserve"> </w:t>
      </w:r>
      <w:r w:rsidR="007A238E" w:rsidRPr="005E25A9">
        <w:rPr>
          <w:rFonts w:ascii="Times New Roman" w:hAnsi="Times New Roman" w:cs="Times New Roman"/>
          <w:i/>
          <w:iCs/>
          <w:kern w:val="0"/>
          <w:sz w:val="24"/>
          <w:szCs w:val="24"/>
        </w:rPr>
        <w:t>Puente v. City of Phoenix</w:t>
      </w:r>
      <w:r w:rsidR="007A238E" w:rsidRPr="005E25A9">
        <w:rPr>
          <w:rFonts w:ascii="Times New Roman" w:hAnsi="Times New Roman" w:cs="Times New Roman"/>
          <w:kern w:val="0"/>
          <w:sz w:val="24"/>
          <w:szCs w:val="24"/>
        </w:rPr>
        <w:t>, 123 F.4th 1035, 1065-66 (9th Cir. 2024) (rejecting the argument that the police chief was the final policy maker sufficient to establish municipal liability because even assuming that the police chief  “established municipal policy for the overall management of the event,” there was no evidence that the police chief “caused the situation-specific use of force against” an individual).</w:t>
      </w:r>
      <w:r w:rsidR="007A238E" w:rsidRPr="005E25A9">
        <w:rPr>
          <w:rFonts w:ascii="Times New Roman" w:hAnsi="Times New Roman" w:cs="Times New Roman"/>
          <w:kern w:val="0"/>
          <w:sz w:val="24"/>
          <w:szCs w:val="24"/>
          <w:u w:val="single"/>
        </w:rPr>
        <w:t xml:space="preserve">  </w:t>
      </w:r>
      <w:r w:rsidR="007A238E" w:rsidRPr="005E25A9">
        <w:rPr>
          <w:rFonts w:ascii="Times New Roman" w:hAnsi="Times New Roman" w:cs="Times New Roman"/>
          <w:kern w:val="0"/>
          <w:sz w:val="24"/>
          <w:szCs w:val="24"/>
        </w:rPr>
        <w:t xml:space="preserve"> </w:t>
      </w:r>
    </w:p>
    <w:p w14:paraId="77E0C189" w14:textId="77777777" w:rsidR="007A238E" w:rsidRPr="001B7C8C" w:rsidRDefault="007A238E"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p>
    <w:p w14:paraId="333B2C97" w14:textId="55F44B5B"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1B7C8C">
        <w:rPr>
          <w:rFonts w:ascii="Times New Roman" w:hAnsi="Times New Roman" w:cs="Times New Roman"/>
          <w:kern w:val="0"/>
          <w:sz w:val="24"/>
          <w:szCs w:val="24"/>
        </w:rPr>
        <w:tab/>
        <w:t xml:space="preserve">Whether an official is a policymaker for </w:t>
      </w:r>
      <w:r w:rsidRPr="001B7C8C">
        <w:rPr>
          <w:rFonts w:ascii="Times New Roman" w:hAnsi="Times New Roman" w:cs="Times New Roman"/>
          <w:i/>
          <w:iCs/>
          <w:kern w:val="0"/>
          <w:sz w:val="24"/>
          <w:szCs w:val="24"/>
        </w:rPr>
        <w:t xml:space="preserve">Monell </w:t>
      </w:r>
      <w:r w:rsidRPr="001B7C8C">
        <w:rPr>
          <w:rFonts w:ascii="Times New Roman" w:hAnsi="Times New Roman" w:cs="Times New Roman"/>
          <w:kern w:val="0"/>
          <w:sz w:val="24"/>
          <w:szCs w:val="24"/>
        </w:rPr>
        <w:t xml:space="preserve">purposes is a question of state law for the court, rather than the jury, to decide.  </w:t>
      </w:r>
      <w:r w:rsidRPr="001B7C8C">
        <w:rPr>
          <w:rFonts w:ascii="Times New Roman" w:hAnsi="Times New Roman" w:cs="Times New Roman"/>
          <w:i/>
          <w:iCs/>
          <w:kern w:val="0"/>
          <w:sz w:val="24"/>
          <w:szCs w:val="24"/>
        </w:rPr>
        <w:t>City of St. Louis v. Praprotnik</w:t>
      </w:r>
      <w:r w:rsidRPr="001B7C8C">
        <w:rPr>
          <w:rFonts w:ascii="Times New Roman" w:hAnsi="Times New Roman" w:cs="Times New Roman"/>
          <w:kern w:val="0"/>
          <w:sz w:val="24"/>
          <w:szCs w:val="24"/>
        </w:rPr>
        <w:t xml:space="preserve">, 485 U.S. 112, 123 (1988); </w:t>
      </w:r>
      <w:r w:rsidRPr="001B7C8C">
        <w:rPr>
          <w:rFonts w:ascii="Times New Roman" w:hAnsi="Times New Roman" w:cs="Times New Roman"/>
          <w:i/>
          <w:iCs/>
          <w:kern w:val="0"/>
          <w:sz w:val="24"/>
          <w:szCs w:val="24"/>
        </w:rPr>
        <w:t>see</w:t>
      </w:r>
      <w:r w:rsidRPr="001B7C8C">
        <w:rPr>
          <w:rFonts w:ascii="Times New Roman" w:hAnsi="Times New Roman" w:cs="Times New Roman"/>
          <w:kern w:val="0"/>
          <w:sz w:val="24"/>
          <w:szCs w:val="24"/>
        </w:rPr>
        <w:t xml:space="preserve"> </w:t>
      </w:r>
      <w:r w:rsidRPr="001B7C8C">
        <w:rPr>
          <w:rFonts w:ascii="Times New Roman" w:hAnsi="Times New Roman" w:cs="Times New Roman"/>
          <w:i/>
          <w:iCs/>
          <w:kern w:val="0"/>
          <w:sz w:val="24"/>
          <w:szCs w:val="24"/>
        </w:rPr>
        <w:t>Ellins v. City of Sierra Madre</w:t>
      </w:r>
      <w:r w:rsidRPr="001B7C8C">
        <w:rPr>
          <w:rFonts w:ascii="Times New Roman" w:hAnsi="Times New Roman" w:cs="Times New Roman"/>
          <w:kern w:val="0"/>
          <w:sz w:val="24"/>
          <w:szCs w:val="24"/>
        </w:rPr>
        <w:t xml:space="preserve">, 710 F.3d 1049, 1066 (9th Cir. 2013). The determination </w:t>
      </w:r>
      <w:proofErr w:type="gramStart"/>
      <w:r w:rsidRPr="001B7C8C">
        <w:rPr>
          <w:rFonts w:ascii="Times New Roman" w:hAnsi="Times New Roman" w:cs="Times New Roman"/>
          <w:kern w:val="0"/>
          <w:sz w:val="24"/>
          <w:szCs w:val="24"/>
        </w:rPr>
        <w:t>is  made</w:t>
      </w:r>
      <w:proofErr w:type="gramEnd"/>
      <w:r w:rsidRPr="001B7C8C">
        <w:rPr>
          <w:rFonts w:ascii="Times New Roman" w:hAnsi="Times New Roman" w:cs="Times New Roman"/>
          <w:kern w:val="0"/>
          <w:sz w:val="24"/>
          <w:szCs w:val="24"/>
        </w:rPr>
        <w:t xml:space="preserve"> on a function-by-function approach analyzed under the state organizational structure. </w:t>
      </w:r>
      <w:r w:rsidRPr="001B7C8C">
        <w:rPr>
          <w:rFonts w:ascii="Times New Roman" w:hAnsi="Times New Roman" w:cs="Times New Roman"/>
          <w:i/>
          <w:iCs/>
          <w:kern w:val="0"/>
          <w:sz w:val="24"/>
          <w:szCs w:val="24"/>
        </w:rPr>
        <w:t xml:space="preserve"> Goldstein</w:t>
      </w:r>
      <w:r w:rsidRPr="001B7C8C">
        <w:rPr>
          <w:rFonts w:ascii="Times New Roman" w:hAnsi="Times New Roman" w:cs="Times New Roman"/>
          <w:kern w:val="0"/>
          <w:sz w:val="24"/>
          <w:szCs w:val="24"/>
        </w:rPr>
        <w:t>, 715 F.3d at 753.  A “policy” is a deliberate choice to follow a course of action made from among various alternatives by the official or officials responsible for establishing final policy with respect to the subject matter in question.</w:t>
      </w:r>
      <w:r w:rsidRPr="001B7C8C">
        <w:rPr>
          <w:rFonts w:ascii="Times New Roman" w:hAnsi="Times New Roman" w:cs="Times New Roman"/>
          <w:i/>
          <w:iCs/>
          <w:color w:val="FF0000"/>
          <w:kern w:val="0"/>
          <w:sz w:val="28"/>
          <w:szCs w:val="28"/>
          <w14:ligatures w14:val="none"/>
        </w:rPr>
        <w:t xml:space="preserve"> </w:t>
      </w:r>
      <w:r w:rsidRPr="001B7C8C">
        <w:rPr>
          <w:rFonts w:ascii="Times New Roman" w:hAnsi="Times New Roman" w:cs="Times New Roman"/>
          <w:i/>
          <w:iCs/>
          <w:kern w:val="0"/>
          <w:sz w:val="24"/>
          <w:szCs w:val="24"/>
        </w:rPr>
        <w:t>Brown v. Lynch</w:t>
      </w:r>
      <w:r w:rsidRPr="001B7C8C">
        <w:rPr>
          <w:rFonts w:ascii="Times New Roman" w:hAnsi="Times New Roman" w:cs="Times New Roman"/>
          <w:kern w:val="0"/>
          <w:sz w:val="24"/>
          <w:szCs w:val="24"/>
        </w:rPr>
        <w:t xml:space="preserve">, 831 F.3d 1146, 1152 (9th Cir. 2016)  </w:t>
      </w:r>
    </w:p>
    <w:p w14:paraId="002A7B1F"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p>
    <w:p w14:paraId="78C1F4B4" w14:textId="71706769"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1B7C8C">
        <w:rPr>
          <w:rFonts w:ascii="Times New Roman" w:hAnsi="Times New Roman" w:cs="Times New Roman"/>
          <w:kern w:val="0"/>
          <w:sz w:val="24"/>
          <w:szCs w:val="24"/>
        </w:rPr>
        <w:tab/>
        <w:t xml:space="preserve">A plaintiff seeking to establish municipal liability under this theory must demonstrate that an action of the final policymaker “was the ‘moving force’ behind the constitutional violation he suffered.” </w:t>
      </w:r>
      <w:r w:rsidRPr="001B7C8C">
        <w:rPr>
          <w:rFonts w:ascii="Times New Roman" w:hAnsi="Times New Roman" w:cs="Times New Roman"/>
          <w:i/>
          <w:iCs/>
          <w:kern w:val="0"/>
          <w:sz w:val="24"/>
          <w:szCs w:val="24"/>
        </w:rPr>
        <w:t xml:space="preserve"> </w:t>
      </w:r>
      <w:proofErr w:type="spellStart"/>
      <w:r w:rsidRPr="001B7C8C">
        <w:rPr>
          <w:rFonts w:ascii="Times New Roman" w:hAnsi="Times New Roman" w:cs="Times New Roman"/>
          <w:i/>
          <w:iCs/>
          <w:kern w:val="0"/>
          <w:sz w:val="24"/>
          <w:szCs w:val="24"/>
        </w:rPr>
        <w:t>Gravelet</w:t>
      </w:r>
      <w:proofErr w:type="spellEnd"/>
      <w:r w:rsidRPr="001B7C8C">
        <w:rPr>
          <w:rFonts w:ascii="Times New Roman" w:hAnsi="Times New Roman" w:cs="Times New Roman"/>
          <w:i/>
          <w:iCs/>
          <w:kern w:val="0"/>
          <w:sz w:val="24"/>
          <w:szCs w:val="24"/>
        </w:rPr>
        <w:t>-Blondin v. Shelton</w:t>
      </w:r>
      <w:r w:rsidRPr="001B7C8C">
        <w:rPr>
          <w:rFonts w:ascii="Times New Roman" w:hAnsi="Times New Roman" w:cs="Times New Roman"/>
          <w:kern w:val="0"/>
          <w:sz w:val="24"/>
          <w:szCs w:val="24"/>
        </w:rPr>
        <w:t>, 728 F.3d 1086, 1096 (9th Cir. 2013)</w:t>
      </w:r>
      <w:r w:rsidRPr="001B7C8C">
        <w:rPr>
          <w:rFonts w:ascii="Times New Roman" w:hAnsi="Times New Roman" w:cs="Times New Roman"/>
          <w:color w:val="FF0000"/>
          <w:kern w:val="0"/>
          <w:sz w:val="28"/>
          <w:szCs w:val="28"/>
          <w14:ligatures w14:val="none"/>
        </w:rPr>
        <w:t xml:space="preserve"> </w:t>
      </w:r>
      <w:r w:rsidRPr="001B7C8C">
        <w:rPr>
          <w:rFonts w:ascii="Times New Roman" w:hAnsi="Times New Roman" w:cs="Times New Roman"/>
          <w:kern w:val="0"/>
          <w:sz w:val="24"/>
          <w:szCs w:val="24"/>
        </w:rPr>
        <w:t xml:space="preserve">(citing </w:t>
      </w:r>
      <w:r w:rsidRPr="001B7C8C">
        <w:rPr>
          <w:rFonts w:ascii="Times New Roman" w:hAnsi="Times New Roman" w:cs="Times New Roman"/>
          <w:i/>
          <w:iCs/>
          <w:kern w:val="0"/>
          <w:sz w:val="24"/>
          <w:szCs w:val="24"/>
        </w:rPr>
        <w:t>Monell</w:t>
      </w:r>
      <w:r w:rsidRPr="001B7C8C">
        <w:rPr>
          <w:rFonts w:ascii="Times New Roman" w:hAnsi="Times New Roman" w:cs="Times New Roman"/>
          <w:kern w:val="0"/>
          <w:sz w:val="24"/>
          <w:szCs w:val="24"/>
        </w:rPr>
        <w:t xml:space="preserve">, 436 U.S. at 694-95).  “To meet this requirement, the plaintiff must show both causation-in-fact and proximate causation.” </w:t>
      </w:r>
      <w:r w:rsidRPr="001B7C8C">
        <w:rPr>
          <w:rFonts w:ascii="Times New Roman" w:hAnsi="Times New Roman" w:cs="Times New Roman"/>
          <w:i/>
          <w:iCs/>
          <w:kern w:val="0"/>
          <w:sz w:val="24"/>
          <w:szCs w:val="24"/>
        </w:rPr>
        <w:t xml:space="preserve"> Id.</w:t>
      </w:r>
      <w:r w:rsidRPr="001B7C8C">
        <w:rPr>
          <w:rFonts w:ascii="Times New Roman" w:hAnsi="Times New Roman" w:cs="Times New Roman"/>
          <w:kern w:val="0"/>
          <w:sz w:val="24"/>
          <w:szCs w:val="24"/>
        </w:rPr>
        <w:t xml:space="preserve"> </w:t>
      </w:r>
    </w:p>
    <w:p w14:paraId="43D5902F"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sectPr w:rsidR="001B7C8C" w:rsidRPr="001B7C8C">
          <w:footerReference w:type="default" r:id="rId7"/>
          <w:type w:val="continuous"/>
          <w:pgSz w:w="12240" w:h="15840"/>
          <w:pgMar w:top="1440" w:right="1440" w:bottom="1440" w:left="1440" w:header="1112" w:footer="1440" w:gutter="0"/>
          <w:cols w:space="720"/>
          <w:noEndnote/>
          <w:titlePg/>
        </w:sectPr>
      </w:pPr>
    </w:p>
    <w:p w14:paraId="7309276C" w14:textId="77777777"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p>
    <w:p w14:paraId="413A5DF5" w14:textId="1855D001" w:rsidR="001B7C8C" w:rsidRPr="001B7C8C" w:rsidRDefault="001B7C8C" w:rsidP="001B7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1B7C8C">
        <w:rPr>
          <w:rFonts w:ascii="Times New Roman" w:hAnsi="Times New Roman" w:cs="Times New Roman"/>
          <w:kern w:val="0"/>
          <w:sz w:val="24"/>
          <w:szCs w:val="24"/>
        </w:rPr>
        <w:tab/>
        <w:t>A municipality may be liable for the acts of a final policymaker if these acts caused a constitutional violation, even if the constitutional violation occurs only once.</w:t>
      </w:r>
      <w:r w:rsidRPr="001B7C8C">
        <w:rPr>
          <w:rFonts w:ascii="Times New Roman" w:hAnsi="Times New Roman" w:cs="Times New Roman"/>
          <w:i/>
          <w:iCs/>
          <w:kern w:val="0"/>
          <w:sz w:val="24"/>
          <w:szCs w:val="24"/>
        </w:rPr>
        <w:t xml:space="preserve">  </w:t>
      </w:r>
      <w:proofErr w:type="spellStart"/>
      <w:r w:rsidRPr="001B7C8C">
        <w:rPr>
          <w:rFonts w:ascii="Times New Roman" w:hAnsi="Times New Roman" w:cs="Times New Roman"/>
          <w:i/>
          <w:iCs/>
          <w:kern w:val="0"/>
          <w:sz w:val="24"/>
          <w:szCs w:val="24"/>
        </w:rPr>
        <w:t>Pembaur</w:t>
      </w:r>
      <w:proofErr w:type="spellEnd"/>
      <w:r w:rsidRPr="001B7C8C">
        <w:rPr>
          <w:rFonts w:ascii="Times New Roman" w:hAnsi="Times New Roman" w:cs="Times New Roman"/>
          <w:i/>
          <w:iCs/>
          <w:kern w:val="0"/>
          <w:sz w:val="24"/>
          <w:szCs w:val="24"/>
        </w:rPr>
        <w:t xml:space="preserve"> v. City of Cincinnati</w:t>
      </w:r>
      <w:r w:rsidRPr="001B7C8C">
        <w:rPr>
          <w:rFonts w:ascii="Times New Roman" w:hAnsi="Times New Roman" w:cs="Times New Roman"/>
          <w:kern w:val="0"/>
          <w:sz w:val="24"/>
          <w:szCs w:val="24"/>
        </w:rPr>
        <w:t xml:space="preserve">, 475 U.S. 469, 478 &amp; n.6 (1986); </w:t>
      </w:r>
      <w:r w:rsidRPr="001B7C8C">
        <w:rPr>
          <w:rFonts w:ascii="Times New Roman" w:hAnsi="Times New Roman" w:cs="Times New Roman"/>
          <w:i/>
          <w:iCs/>
          <w:kern w:val="0"/>
          <w:sz w:val="24"/>
          <w:szCs w:val="24"/>
        </w:rPr>
        <w:t xml:space="preserve">see Sabra v. Maricopa </w:t>
      </w:r>
      <w:proofErr w:type="spellStart"/>
      <w:r w:rsidRPr="001B7C8C">
        <w:rPr>
          <w:rFonts w:ascii="Times New Roman" w:hAnsi="Times New Roman" w:cs="Times New Roman"/>
          <w:i/>
          <w:iCs/>
          <w:kern w:val="0"/>
          <w:sz w:val="24"/>
          <w:szCs w:val="24"/>
        </w:rPr>
        <w:t>Cnty</w:t>
      </w:r>
      <w:proofErr w:type="spellEnd"/>
      <w:r w:rsidRPr="001B7C8C">
        <w:rPr>
          <w:rFonts w:ascii="Times New Roman" w:hAnsi="Times New Roman" w:cs="Times New Roman"/>
          <w:i/>
          <w:iCs/>
          <w:kern w:val="0"/>
          <w:sz w:val="24"/>
          <w:szCs w:val="24"/>
        </w:rPr>
        <w:t xml:space="preserve">. </w:t>
      </w:r>
      <w:proofErr w:type="spellStart"/>
      <w:r w:rsidRPr="001B7C8C">
        <w:rPr>
          <w:rFonts w:ascii="Times New Roman" w:hAnsi="Times New Roman" w:cs="Times New Roman"/>
          <w:i/>
          <w:iCs/>
          <w:kern w:val="0"/>
          <w:sz w:val="24"/>
          <w:szCs w:val="24"/>
        </w:rPr>
        <w:t>Cmty</w:t>
      </w:r>
      <w:proofErr w:type="spellEnd"/>
      <w:r w:rsidRPr="001B7C8C">
        <w:rPr>
          <w:rFonts w:ascii="Times New Roman" w:hAnsi="Times New Roman" w:cs="Times New Roman"/>
          <w:i/>
          <w:iCs/>
          <w:kern w:val="0"/>
          <w:sz w:val="24"/>
          <w:szCs w:val="24"/>
        </w:rPr>
        <w:t>. Coll. Dist.</w:t>
      </w:r>
      <w:r w:rsidRPr="001B7C8C">
        <w:rPr>
          <w:rFonts w:ascii="Times New Roman" w:hAnsi="Times New Roman" w:cs="Times New Roman"/>
          <w:kern w:val="0"/>
          <w:sz w:val="24"/>
          <w:szCs w:val="24"/>
        </w:rPr>
        <w:t xml:space="preserve">, 44 F.4th 867, 885 (9th Cir. 2022).  In certain situations, a municipality is also liable if a </w:t>
      </w:r>
      <w:r w:rsidRPr="001B7C8C">
        <w:rPr>
          <w:rFonts w:ascii="Times New Roman" w:hAnsi="Times New Roman" w:cs="Times New Roman"/>
          <w:kern w:val="0"/>
          <w:sz w:val="24"/>
          <w:szCs w:val="24"/>
        </w:rPr>
        <w:lastRenderedPageBreak/>
        <w:t xml:space="preserve">policymaking official fully delegates his or her discretionary authority to a subordinate, and the subordinate uses that discretion.  </w:t>
      </w:r>
      <w:r w:rsidRPr="001B7C8C">
        <w:rPr>
          <w:rFonts w:ascii="Times New Roman" w:hAnsi="Times New Roman" w:cs="Times New Roman"/>
          <w:i/>
          <w:iCs/>
          <w:kern w:val="0"/>
          <w:sz w:val="24"/>
          <w:szCs w:val="24"/>
        </w:rPr>
        <w:t>Fogel v. Collins</w:t>
      </w:r>
      <w:r w:rsidRPr="001B7C8C">
        <w:rPr>
          <w:rFonts w:ascii="Times New Roman" w:hAnsi="Times New Roman" w:cs="Times New Roman"/>
          <w:kern w:val="0"/>
          <w:sz w:val="24"/>
          <w:szCs w:val="24"/>
        </w:rPr>
        <w:t>, 531 F.3d 824, 834 (9th Cir. 2008</w:t>
      </w:r>
      <w:proofErr w:type="gramStart"/>
      <w:r w:rsidRPr="001B7C8C">
        <w:rPr>
          <w:rFonts w:ascii="Times New Roman" w:hAnsi="Times New Roman" w:cs="Times New Roman"/>
          <w:kern w:val="0"/>
          <w:sz w:val="24"/>
          <w:szCs w:val="24"/>
        </w:rPr>
        <w:t>) ;</w:t>
      </w:r>
      <w:proofErr w:type="gramEnd"/>
      <w:r w:rsidRPr="001B7C8C">
        <w:rPr>
          <w:rFonts w:ascii="Times New Roman" w:hAnsi="Times New Roman" w:cs="Times New Roman"/>
          <w:kern w:val="0"/>
          <w:sz w:val="24"/>
          <w:szCs w:val="24"/>
        </w:rPr>
        <w:t xml:space="preserve"> </w:t>
      </w:r>
      <w:r w:rsidRPr="001B7C8C">
        <w:rPr>
          <w:rFonts w:ascii="Times New Roman" w:hAnsi="Times New Roman" w:cs="Times New Roman"/>
          <w:i/>
          <w:iCs/>
          <w:kern w:val="0"/>
          <w:sz w:val="24"/>
          <w:szCs w:val="24"/>
        </w:rPr>
        <w:t xml:space="preserve">see </w:t>
      </w:r>
      <w:proofErr w:type="spellStart"/>
      <w:r w:rsidRPr="001B7C8C">
        <w:rPr>
          <w:rFonts w:ascii="Times New Roman" w:hAnsi="Times New Roman" w:cs="Times New Roman"/>
          <w:i/>
          <w:iCs/>
          <w:kern w:val="0"/>
          <w:sz w:val="24"/>
          <w:szCs w:val="24"/>
        </w:rPr>
        <w:t>alsoPraprotnik</w:t>
      </w:r>
      <w:proofErr w:type="spellEnd"/>
      <w:r w:rsidRPr="001B7C8C">
        <w:rPr>
          <w:rFonts w:ascii="Times New Roman" w:hAnsi="Times New Roman" w:cs="Times New Roman"/>
          <w:kern w:val="0"/>
          <w:sz w:val="24"/>
          <w:szCs w:val="24"/>
        </w:rPr>
        <w:t xml:space="preserve">, 485 U.S. </w:t>
      </w:r>
      <w:r>
        <w:rPr>
          <w:rFonts w:ascii="Times New Roman" w:hAnsi="Times New Roman" w:cs="Times New Roman"/>
          <w:kern w:val="0"/>
          <w:sz w:val="24"/>
          <w:szCs w:val="24"/>
        </w:rPr>
        <w:t>at 124</w:t>
      </w:r>
      <w:r w:rsidRPr="001B7C8C">
        <w:rPr>
          <w:rFonts w:ascii="Times New Roman" w:hAnsi="Times New Roman" w:cs="Times New Roman"/>
          <w:kern w:val="0"/>
          <w:sz w:val="24"/>
          <w:szCs w:val="24"/>
        </w:rPr>
        <w:t xml:space="preserve">.  An official may be found to have been delegated final policymaking authority when the official’s discretionary decision is unconstrained by policies not of that official’s making and unreviewable by the municipality’s authorized policymakers. </w:t>
      </w:r>
      <w:r w:rsidRPr="001B7C8C">
        <w:rPr>
          <w:rFonts w:ascii="Times New Roman" w:hAnsi="Times New Roman" w:cs="Times New Roman"/>
          <w:i/>
          <w:iCs/>
          <w:kern w:val="0"/>
          <w:sz w:val="24"/>
          <w:szCs w:val="24"/>
        </w:rPr>
        <w:t>Lytle v. Carl</w:t>
      </w:r>
      <w:r w:rsidRPr="001B7C8C">
        <w:rPr>
          <w:rFonts w:ascii="Times New Roman" w:hAnsi="Times New Roman" w:cs="Times New Roman"/>
          <w:kern w:val="0"/>
          <w:sz w:val="24"/>
          <w:szCs w:val="24"/>
        </w:rPr>
        <w:t xml:space="preserve">, 382 F.3d 978, 984 (9th Cir. 2004) (citing </w:t>
      </w:r>
      <w:r w:rsidRPr="001B7C8C">
        <w:rPr>
          <w:rFonts w:ascii="Times New Roman" w:hAnsi="Times New Roman" w:cs="Times New Roman"/>
          <w:i/>
          <w:iCs/>
          <w:kern w:val="0"/>
          <w:sz w:val="24"/>
          <w:szCs w:val="24"/>
        </w:rPr>
        <w:t>Christie v. Iopa</w:t>
      </w:r>
      <w:r w:rsidRPr="001B7C8C">
        <w:rPr>
          <w:rFonts w:ascii="Times New Roman" w:hAnsi="Times New Roman" w:cs="Times New Roman"/>
          <w:kern w:val="0"/>
          <w:sz w:val="24"/>
          <w:szCs w:val="24"/>
        </w:rPr>
        <w:t xml:space="preserve">, 176 F.3d 1231, 1236-37 (9th Cir. 1999)). </w:t>
      </w:r>
    </w:p>
    <w:p w14:paraId="675EAC67" w14:textId="77777777" w:rsidR="00FE7F82" w:rsidRDefault="00FE7F82" w:rsidP="001B7C8C">
      <w:pPr>
        <w:spacing w:after="0" w:line="240" w:lineRule="auto"/>
      </w:pPr>
    </w:p>
    <w:p w14:paraId="1346FBB1" w14:textId="279559F7" w:rsidR="001B7C8C" w:rsidRPr="001B7C8C" w:rsidRDefault="001B7C8C" w:rsidP="001B7C8C">
      <w:pPr>
        <w:spacing w:after="0" w:line="240" w:lineRule="auto"/>
        <w:jc w:val="right"/>
        <w:rPr>
          <w:rFonts w:ascii="Times New Roman" w:hAnsi="Times New Roman" w:cs="Times New Roman"/>
          <w:i/>
          <w:iCs/>
          <w:sz w:val="24"/>
          <w:szCs w:val="24"/>
        </w:rPr>
      </w:pPr>
      <w:r w:rsidRPr="001B7C8C">
        <w:rPr>
          <w:rFonts w:ascii="Times New Roman" w:hAnsi="Times New Roman" w:cs="Times New Roman"/>
          <w:i/>
          <w:iCs/>
          <w:sz w:val="24"/>
          <w:szCs w:val="24"/>
        </w:rPr>
        <w:t xml:space="preserve">Revised </w:t>
      </w:r>
      <w:r w:rsidR="0062449B">
        <w:rPr>
          <w:rFonts w:ascii="Times New Roman" w:hAnsi="Times New Roman" w:cs="Times New Roman"/>
          <w:i/>
          <w:iCs/>
          <w:sz w:val="24"/>
          <w:szCs w:val="24"/>
        </w:rPr>
        <w:t>March 2025</w:t>
      </w:r>
    </w:p>
    <w:sectPr w:rsidR="001B7C8C" w:rsidRPr="001B7C8C" w:rsidSect="006E4F5D">
      <w:footerReference w:type="default" r:id="rId8"/>
      <w:type w:val="continuous"/>
      <w:pgSz w:w="12240" w:h="15840"/>
      <w:pgMar w:top="1440" w:right="1440" w:bottom="1440" w:left="1440" w:header="1112"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C0C2F" w14:textId="77777777" w:rsidR="0040178A" w:rsidRDefault="0040178A">
      <w:pPr>
        <w:spacing w:after="0" w:line="240" w:lineRule="auto"/>
      </w:pPr>
      <w:r>
        <w:separator/>
      </w:r>
    </w:p>
  </w:endnote>
  <w:endnote w:type="continuationSeparator" w:id="0">
    <w:p w14:paraId="3C140195" w14:textId="77777777" w:rsidR="0040178A" w:rsidRDefault="0040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666E" w14:textId="77777777" w:rsidR="008F365E" w:rsidRDefault="008F365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09ED6F6B" w14:textId="77777777" w:rsidR="008F365E" w:rsidRDefault="008F365E">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1EA1" w14:textId="77777777" w:rsidR="008F365E" w:rsidRDefault="008F365E">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0A67" w14:textId="77777777" w:rsidR="008F365E" w:rsidRDefault="008F365E">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53AC9" w14:textId="77777777" w:rsidR="0040178A" w:rsidRDefault="0040178A">
      <w:pPr>
        <w:spacing w:after="0" w:line="240" w:lineRule="auto"/>
      </w:pPr>
      <w:r>
        <w:separator/>
      </w:r>
    </w:p>
  </w:footnote>
  <w:footnote w:type="continuationSeparator" w:id="0">
    <w:p w14:paraId="3DBFC3A6" w14:textId="77777777" w:rsidR="0040178A" w:rsidRDefault="00401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8C"/>
    <w:rsid w:val="001B7C8C"/>
    <w:rsid w:val="003719CF"/>
    <w:rsid w:val="0040178A"/>
    <w:rsid w:val="00405FEB"/>
    <w:rsid w:val="005E25A9"/>
    <w:rsid w:val="0062449B"/>
    <w:rsid w:val="006B52EA"/>
    <w:rsid w:val="007A238E"/>
    <w:rsid w:val="007D6FBC"/>
    <w:rsid w:val="00887257"/>
    <w:rsid w:val="008F365E"/>
    <w:rsid w:val="00BE0F07"/>
    <w:rsid w:val="00CB2613"/>
    <w:rsid w:val="00E829E1"/>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8C32"/>
  <w15:chartTrackingRefBased/>
  <w15:docId w15:val="{1D4B97E0-4F05-48D1-A03D-146FCDF9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B7C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7</cp:revision>
  <dcterms:created xsi:type="dcterms:W3CDTF">2024-02-05T01:44:00Z</dcterms:created>
  <dcterms:modified xsi:type="dcterms:W3CDTF">2025-04-24T23:47:00Z</dcterms:modified>
</cp:coreProperties>
</file>