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B4112" w14:textId="14693CEA" w:rsidR="00E93E97" w:rsidRPr="00E93E97" w:rsidRDefault="00E93E97" w:rsidP="00E93E97">
      <w:pPr>
        <w:autoSpaceDE w:val="0"/>
        <w:autoSpaceDN w:val="0"/>
        <w:adjustRightInd w:val="0"/>
        <w:spacing w:after="0" w:line="240" w:lineRule="auto"/>
        <w:jc w:val="center"/>
        <w:rPr>
          <w:rFonts w:ascii="Times New Roman" w:hAnsi="Times New Roman" w:cs="Times New Roman"/>
          <w:b/>
          <w:bCs/>
          <w:kern w:val="0"/>
          <w:sz w:val="24"/>
          <w:szCs w:val="24"/>
        </w:rPr>
      </w:pPr>
      <w:r w:rsidRPr="00E93E97">
        <w:rPr>
          <w:rFonts w:ascii="Times New Roman" w:hAnsi="Times New Roman" w:cs="Times New Roman"/>
          <w:kern w:val="0"/>
          <w:sz w:val="24"/>
          <w:szCs w:val="24"/>
          <w:lang w:val="en-CA"/>
        </w:rPr>
        <w:fldChar w:fldCharType="begin"/>
      </w:r>
      <w:r w:rsidRPr="00E93E97">
        <w:rPr>
          <w:rFonts w:ascii="Times New Roman" w:hAnsi="Times New Roman" w:cs="Times New Roman"/>
          <w:kern w:val="0"/>
          <w:sz w:val="24"/>
          <w:szCs w:val="24"/>
          <w:lang w:val="en-CA"/>
        </w:rPr>
        <w:instrText xml:space="preserve"> SEQ CHAPTER \h \r 1</w:instrText>
      </w:r>
      <w:r w:rsidRPr="00E93E97">
        <w:rPr>
          <w:rFonts w:ascii="Times New Roman" w:hAnsi="Times New Roman" w:cs="Times New Roman"/>
          <w:kern w:val="0"/>
          <w:sz w:val="24"/>
          <w:szCs w:val="24"/>
          <w:lang w:val="en-CA"/>
        </w:rPr>
        <w:fldChar w:fldCharType="end"/>
      </w:r>
      <w:r w:rsidR="006E3187" w:rsidRPr="00E93E97">
        <w:rPr>
          <w:rFonts w:ascii="Times New Roman" w:hAnsi="Times New Roman" w:cs="Times New Roman"/>
          <w:b/>
          <w:bCs/>
          <w:kern w:val="0"/>
          <w:sz w:val="24"/>
          <w:szCs w:val="24"/>
        </w:rPr>
        <w:t>9.7 Section</w:t>
      </w:r>
      <w:r w:rsidRPr="00E93E97">
        <w:rPr>
          <w:rFonts w:ascii="Times New Roman" w:hAnsi="Times New Roman" w:cs="Times New Roman"/>
          <w:b/>
          <w:bCs/>
          <w:kern w:val="0"/>
          <w:sz w:val="24"/>
          <w:szCs w:val="24"/>
        </w:rPr>
        <w:t xml:space="preserve"> 1983 Claim Against Local Governing Body Defendants Based </w:t>
      </w:r>
      <w:r w:rsidR="00DC157E">
        <w:rPr>
          <w:rFonts w:ascii="Times New Roman" w:hAnsi="Times New Roman" w:cs="Times New Roman"/>
          <w:b/>
          <w:bCs/>
          <w:kern w:val="0"/>
          <w:sz w:val="24"/>
          <w:szCs w:val="24"/>
        </w:rPr>
        <w:t>o</w:t>
      </w:r>
      <w:r w:rsidRPr="00E93E97">
        <w:rPr>
          <w:rFonts w:ascii="Times New Roman" w:hAnsi="Times New Roman" w:cs="Times New Roman"/>
          <w:b/>
          <w:bCs/>
          <w:kern w:val="0"/>
          <w:sz w:val="24"/>
          <w:szCs w:val="24"/>
        </w:rPr>
        <w:t xml:space="preserve">n Ratification—Elements </w:t>
      </w:r>
      <w:r>
        <w:rPr>
          <w:rFonts w:ascii="Times New Roman" w:hAnsi="Times New Roman" w:cs="Times New Roman"/>
          <w:b/>
          <w:bCs/>
          <w:kern w:val="0"/>
          <w:sz w:val="24"/>
          <w:szCs w:val="24"/>
        </w:rPr>
        <w:t>a</w:t>
      </w:r>
      <w:r w:rsidRPr="00E93E97">
        <w:rPr>
          <w:rFonts w:ascii="Times New Roman" w:hAnsi="Times New Roman" w:cs="Times New Roman"/>
          <w:b/>
          <w:bCs/>
          <w:kern w:val="0"/>
          <w:sz w:val="24"/>
          <w:szCs w:val="24"/>
        </w:rPr>
        <w:t xml:space="preserve">nd Burden </w:t>
      </w:r>
      <w:r>
        <w:rPr>
          <w:rFonts w:ascii="Times New Roman" w:hAnsi="Times New Roman" w:cs="Times New Roman"/>
          <w:b/>
          <w:bCs/>
          <w:kern w:val="0"/>
          <w:sz w:val="24"/>
          <w:szCs w:val="24"/>
        </w:rPr>
        <w:t>o</w:t>
      </w:r>
      <w:r w:rsidRPr="00E93E97">
        <w:rPr>
          <w:rFonts w:ascii="Times New Roman" w:hAnsi="Times New Roman" w:cs="Times New Roman"/>
          <w:b/>
          <w:bCs/>
          <w:kern w:val="0"/>
          <w:sz w:val="24"/>
          <w:szCs w:val="24"/>
        </w:rPr>
        <w:t>f Proof</w:t>
      </w:r>
    </w:p>
    <w:p w14:paraId="335C43C1" w14:textId="77777777" w:rsidR="00E93E97" w:rsidRPr="00E93E97" w:rsidRDefault="00E93E97" w:rsidP="00E93E97">
      <w:pPr>
        <w:autoSpaceDE w:val="0"/>
        <w:autoSpaceDN w:val="0"/>
        <w:adjustRightInd w:val="0"/>
        <w:spacing w:after="0" w:line="240" w:lineRule="auto"/>
        <w:rPr>
          <w:rFonts w:ascii="Times New Roman" w:hAnsi="Times New Roman" w:cs="Times New Roman"/>
          <w:kern w:val="0"/>
          <w:sz w:val="24"/>
          <w:szCs w:val="24"/>
        </w:rPr>
      </w:pPr>
    </w:p>
    <w:p w14:paraId="798853AB" w14:textId="77777777" w:rsidR="00D0065B" w:rsidRPr="00D0065B" w:rsidRDefault="00D0065B" w:rsidP="00D0065B">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D0065B">
        <w:rPr>
          <w:rFonts w:ascii="Times New Roman" w:eastAsia="Calibri" w:hAnsi="Times New Roman" w:cs="Times New Roman"/>
          <w:kern w:val="0"/>
          <w:sz w:val="24"/>
          <w:szCs w:val="24"/>
          <w14:ligatures w14:val="none"/>
        </w:rPr>
        <w:tab/>
        <w:t>To prevail on the plaintiff’s § 1983 claim against defendant [</w:t>
      </w:r>
      <w:r w:rsidRPr="00D0065B">
        <w:rPr>
          <w:rFonts w:ascii="Times New Roman" w:eastAsia="Calibri" w:hAnsi="Times New Roman" w:cs="Times New Roman"/>
          <w:i/>
          <w:iCs/>
          <w:kern w:val="0"/>
          <w:sz w:val="24"/>
          <w:szCs w:val="24"/>
          <w:u w:val="single"/>
          <w14:ligatures w14:val="none"/>
        </w:rPr>
        <w:t>name of local governing body</w:t>
      </w:r>
      <w:r w:rsidRPr="00D0065B">
        <w:rPr>
          <w:rFonts w:ascii="Times New Roman" w:eastAsia="Calibri" w:hAnsi="Times New Roman" w:cs="Times New Roman"/>
          <w:kern w:val="0"/>
          <w:sz w:val="24"/>
          <w:szCs w:val="24"/>
          <w14:ligatures w14:val="none"/>
        </w:rPr>
        <w:t>] alleging liability based on ratification by a final policymaker, the plaintiff [</w:t>
      </w:r>
      <w:r w:rsidRPr="00D0065B">
        <w:rPr>
          <w:rFonts w:ascii="Times New Roman" w:eastAsia="Calibri" w:hAnsi="Times New Roman" w:cs="Times New Roman"/>
          <w:i/>
          <w:iCs/>
          <w:kern w:val="0"/>
          <w:sz w:val="24"/>
          <w:szCs w:val="24"/>
          <w:u w:val="single"/>
          <w14:ligatures w14:val="none"/>
        </w:rPr>
        <w:t>name</w:t>
      </w:r>
      <w:r w:rsidRPr="00D0065B">
        <w:rPr>
          <w:rFonts w:ascii="Times New Roman" w:eastAsia="Calibri" w:hAnsi="Times New Roman" w:cs="Times New Roman"/>
          <w:kern w:val="0"/>
          <w:sz w:val="24"/>
          <w:szCs w:val="24"/>
          <w14:ligatures w14:val="none"/>
        </w:rPr>
        <w:t>] must prove each of the following elements by a preponderance of the evidence:</w:t>
      </w:r>
    </w:p>
    <w:p w14:paraId="7DFEAF91" w14:textId="77777777" w:rsidR="00D0065B" w:rsidRPr="00D0065B" w:rsidRDefault="00D0065B" w:rsidP="00D0065B">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2EA255F9" w14:textId="77777777" w:rsidR="00D0065B" w:rsidRPr="00D0065B" w:rsidRDefault="00D0065B" w:rsidP="00D0065B">
      <w:pPr>
        <w:tabs>
          <w:tab w:val="left" w:pos="720"/>
          <w:tab w:val="left" w:pos="990"/>
        </w:tabs>
        <w:autoSpaceDE w:val="0"/>
        <w:autoSpaceDN w:val="0"/>
        <w:adjustRightInd w:val="0"/>
        <w:spacing w:after="0" w:line="240" w:lineRule="auto"/>
        <w:rPr>
          <w:rFonts w:ascii="Times New Roman" w:eastAsia="Calibri" w:hAnsi="Times New Roman" w:cs="Times New Roman"/>
          <w:kern w:val="0"/>
          <w:sz w:val="24"/>
          <w:szCs w:val="24"/>
          <w14:ligatures w14:val="none"/>
        </w:rPr>
      </w:pPr>
      <w:r w:rsidRPr="00D0065B">
        <w:rPr>
          <w:rFonts w:ascii="Times New Roman" w:eastAsia="Calibri" w:hAnsi="Times New Roman" w:cs="Times New Roman"/>
          <w:kern w:val="0"/>
          <w:sz w:val="24"/>
          <w:szCs w:val="24"/>
          <w14:ligatures w14:val="none"/>
        </w:rPr>
        <w:tab/>
        <w:t>First, [</w:t>
      </w:r>
      <w:r w:rsidRPr="00D0065B">
        <w:rPr>
          <w:rFonts w:ascii="Times New Roman" w:eastAsia="Calibri" w:hAnsi="Times New Roman" w:cs="Times New Roman"/>
          <w:i/>
          <w:iCs/>
          <w:kern w:val="0"/>
          <w:sz w:val="24"/>
          <w:szCs w:val="24"/>
          <w:u w:val="single"/>
          <w14:ligatures w14:val="none"/>
        </w:rPr>
        <w:t>name of defendant’s employee</w:t>
      </w:r>
      <w:r w:rsidRPr="00D0065B">
        <w:rPr>
          <w:rFonts w:ascii="Times New Roman" w:eastAsia="Calibri" w:hAnsi="Times New Roman" w:cs="Times New Roman"/>
          <w:kern w:val="0"/>
          <w:sz w:val="24"/>
          <w:szCs w:val="24"/>
          <w14:ligatures w14:val="none"/>
        </w:rPr>
        <w:t>] acted under color of state law;</w:t>
      </w:r>
    </w:p>
    <w:p w14:paraId="24C8F485" w14:textId="77777777" w:rsidR="00D0065B" w:rsidRPr="00D0065B" w:rsidRDefault="00D0065B" w:rsidP="00D0065B">
      <w:pPr>
        <w:tabs>
          <w:tab w:val="left" w:pos="990"/>
        </w:tabs>
        <w:autoSpaceDE w:val="0"/>
        <w:autoSpaceDN w:val="0"/>
        <w:adjustRightInd w:val="0"/>
        <w:spacing w:after="0" w:line="240" w:lineRule="auto"/>
        <w:rPr>
          <w:rFonts w:ascii="Times New Roman" w:eastAsia="Calibri" w:hAnsi="Times New Roman" w:cs="Times New Roman"/>
          <w:kern w:val="0"/>
          <w:sz w:val="24"/>
          <w:szCs w:val="24"/>
          <w14:ligatures w14:val="none"/>
        </w:rPr>
      </w:pPr>
    </w:p>
    <w:p w14:paraId="4C595B99" w14:textId="77777777" w:rsidR="00D0065B" w:rsidRPr="00D0065B" w:rsidRDefault="00D0065B" w:rsidP="00D0065B">
      <w:pPr>
        <w:tabs>
          <w:tab w:val="left" w:pos="720"/>
          <w:tab w:val="left" w:pos="990"/>
        </w:tabs>
        <w:autoSpaceDE w:val="0"/>
        <w:autoSpaceDN w:val="0"/>
        <w:adjustRightInd w:val="0"/>
        <w:spacing w:after="0" w:line="240" w:lineRule="auto"/>
        <w:rPr>
          <w:rFonts w:ascii="Times New Roman" w:eastAsia="Calibri" w:hAnsi="Times New Roman" w:cs="Times New Roman"/>
          <w:kern w:val="0"/>
          <w:sz w:val="24"/>
          <w:szCs w:val="24"/>
          <w14:ligatures w14:val="none"/>
        </w:rPr>
      </w:pPr>
      <w:r w:rsidRPr="00D0065B">
        <w:rPr>
          <w:rFonts w:ascii="Times New Roman" w:eastAsia="Calibri" w:hAnsi="Times New Roman" w:cs="Times New Roman"/>
          <w:kern w:val="0"/>
          <w:sz w:val="24"/>
          <w:szCs w:val="24"/>
          <w14:ligatures w14:val="none"/>
        </w:rPr>
        <w:tab/>
        <w:t>Second, the [act[s]] [failure to act] of [</w:t>
      </w:r>
      <w:r w:rsidRPr="00D0065B">
        <w:rPr>
          <w:rFonts w:ascii="Times New Roman" w:eastAsia="Calibri" w:hAnsi="Times New Roman" w:cs="Times New Roman"/>
          <w:i/>
          <w:iCs/>
          <w:kern w:val="0"/>
          <w:sz w:val="24"/>
          <w:szCs w:val="24"/>
          <w:u w:val="single"/>
          <w14:ligatures w14:val="none"/>
        </w:rPr>
        <w:t>name of defendant’s employee</w:t>
      </w:r>
      <w:r w:rsidRPr="00D0065B">
        <w:rPr>
          <w:rFonts w:ascii="Times New Roman" w:eastAsia="Calibri" w:hAnsi="Times New Roman" w:cs="Times New Roman"/>
          <w:kern w:val="0"/>
          <w:sz w:val="24"/>
          <w:szCs w:val="24"/>
          <w14:ligatures w14:val="none"/>
        </w:rPr>
        <w:t>] deprived the plaintiff [</w:t>
      </w:r>
      <w:r w:rsidRPr="00D0065B">
        <w:rPr>
          <w:rFonts w:ascii="Times New Roman" w:eastAsia="Calibri" w:hAnsi="Times New Roman" w:cs="Times New Roman"/>
          <w:i/>
          <w:iCs/>
          <w:kern w:val="0"/>
          <w:sz w:val="24"/>
          <w:szCs w:val="24"/>
          <w:u w:val="single"/>
          <w14:ligatures w14:val="none"/>
        </w:rPr>
        <w:t>name</w:t>
      </w:r>
      <w:r w:rsidRPr="00D0065B">
        <w:rPr>
          <w:rFonts w:ascii="Times New Roman" w:eastAsia="Calibri" w:hAnsi="Times New Roman" w:cs="Times New Roman"/>
          <w:kern w:val="0"/>
          <w:sz w:val="24"/>
          <w:szCs w:val="24"/>
          <w14:ligatures w14:val="none"/>
        </w:rPr>
        <w:t>] of particular rights under [the laws of the United States] [the United States Constitution] as explained in later instructions;</w:t>
      </w:r>
    </w:p>
    <w:p w14:paraId="1B1BC8C9" w14:textId="77777777" w:rsidR="00D0065B" w:rsidRPr="00D0065B" w:rsidRDefault="00D0065B" w:rsidP="00D0065B">
      <w:pPr>
        <w:tabs>
          <w:tab w:val="left" w:pos="990"/>
        </w:tabs>
        <w:autoSpaceDE w:val="0"/>
        <w:autoSpaceDN w:val="0"/>
        <w:adjustRightInd w:val="0"/>
        <w:spacing w:after="0" w:line="240" w:lineRule="auto"/>
        <w:rPr>
          <w:rFonts w:ascii="Times New Roman" w:eastAsia="Calibri" w:hAnsi="Times New Roman" w:cs="Times New Roman"/>
          <w:kern w:val="0"/>
          <w:sz w:val="24"/>
          <w:szCs w:val="24"/>
          <w14:ligatures w14:val="none"/>
        </w:rPr>
      </w:pPr>
    </w:p>
    <w:p w14:paraId="13F29672" w14:textId="77777777" w:rsidR="00D0065B" w:rsidRPr="00D0065B" w:rsidRDefault="00D0065B" w:rsidP="00D0065B">
      <w:pPr>
        <w:tabs>
          <w:tab w:val="left" w:pos="720"/>
          <w:tab w:val="left" w:pos="990"/>
        </w:tabs>
        <w:autoSpaceDE w:val="0"/>
        <w:autoSpaceDN w:val="0"/>
        <w:adjustRightInd w:val="0"/>
        <w:spacing w:after="0" w:line="240" w:lineRule="auto"/>
        <w:rPr>
          <w:rFonts w:ascii="Times New Roman" w:eastAsia="Calibri" w:hAnsi="Times New Roman" w:cs="Times New Roman"/>
          <w:kern w:val="0"/>
          <w:sz w:val="24"/>
          <w:szCs w:val="24"/>
          <w14:ligatures w14:val="none"/>
        </w:rPr>
      </w:pPr>
      <w:r w:rsidRPr="00D0065B">
        <w:rPr>
          <w:rFonts w:ascii="Times New Roman" w:eastAsia="Calibri" w:hAnsi="Times New Roman" w:cs="Times New Roman"/>
          <w:kern w:val="0"/>
          <w:sz w:val="24"/>
          <w:szCs w:val="24"/>
          <w14:ligatures w14:val="none"/>
        </w:rPr>
        <w:tab/>
        <w:t>Third, [</w:t>
      </w:r>
      <w:r w:rsidRPr="00D0065B">
        <w:rPr>
          <w:rFonts w:ascii="Times New Roman" w:eastAsia="Calibri" w:hAnsi="Times New Roman" w:cs="Times New Roman"/>
          <w:i/>
          <w:iCs/>
          <w:kern w:val="0"/>
          <w:sz w:val="24"/>
          <w:szCs w:val="24"/>
          <w:u w:val="single"/>
          <w14:ligatures w14:val="none"/>
        </w:rPr>
        <w:t>name of person the plaintiff alleges was a final policymaker</w:t>
      </w:r>
      <w:r w:rsidRPr="00D0065B">
        <w:rPr>
          <w:rFonts w:ascii="Times New Roman" w:eastAsia="Calibri" w:hAnsi="Times New Roman" w:cs="Times New Roman"/>
          <w:kern w:val="0"/>
          <w:sz w:val="24"/>
          <w:szCs w:val="24"/>
          <w14:ligatures w14:val="none"/>
        </w:rPr>
        <w:t xml:space="preserve">] acted under color of state law; </w:t>
      </w:r>
    </w:p>
    <w:p w14:paraId="5C825B92" w14:textId="77777777" w:rsidR="00D0065B" w:rsidRPr="00D0065B" w:rsidRDefault="00D0065B" w:rsidP="00D0065B">
      <w:pPr>
        <w:tabs>
          <w:tab w:val="left" w:pos="990"/>
        </w:tabs>
        <w:autoSpaceDE w:val="0"/>
        <w:autoSpaceDN w:val="0"/>
        <w:adjustRightInd w:val="0"/>
        <w:spacing w:after="0" w:line="240" w:lineRule="auto"/>
        <w:rPr>
          <w:rFonts w:ascii="Times New Roman" w:eastAsia="Calibri" w:hAnsi="Times New Roman" w:cs="Times New Roman"/>
          <w:kern w:val="0"/>
          <w:sz w:val="24"/>
          <w:szCs w:val="24"/>
          <w14:ligatures w14:val="none"/>
        </w:rPr>
      </w:pPr>
    </w:p>
    <w:p w14:paraId="0FFFC6CF" w14:textId="77777777" w:rsidR="00D0065B" w:rsidRPr="00D0065B" w:rsidRDefault="00D0065B" w:rsidP="00D0065B">
      <w:pPr>
        <w:tabs>
          <w:tab w:val="left" w:pos="720"/>
          <w:tab w:val="left" w:pos="990"/>
        </w:tabs>
        <w:autoSpaceDE w:val="0"/>
        <w:autoSpaceDN w:val="0"/>
        <w:adjustRightInd w:val="0"/>
        <w:spacing w:after="0" w:line="240" w:lineRule="auto"/>
        <w:rPr>
          <w:rFonts w:ascii="Times New Roman" w:eastAsia="Calibri" w:hAnsi="Times New Roman" w:cs="Times New Roman"/>
          <w:kern w:val="0"/>
          <w:sz w:val="24"/>
          <w:szCs w:val="24"/>
          <w14:ligatures w14:val="none"/>
        </w:rPr>
      </w:pPr>
      <w:r w:rsidRPr="00D0065B">
        <w:rPr>
          <w:rFonts w:ascii="Times New Roman" w:eastAsia="Calibri" w:hAnsi="Times New Roman" w:cs="Times New Roman"/>
          <w:kern w:val="0"/>
          <w:sz w:val="24"/>
          <w:szCs w:val="24"/>
          <w14:ligatures w14:val="none"/>
        </w:rPr>
        <w:tab/>
        <w:t>Fourth, [</w:t>
      </w:r>
      <w:r w:rsidRPr="00D0065B">
        <w:rPr>
          <w:rFonts w:ascii="Times New Roman" w:eastAsia="Calibri" w:hAnsi="Times New Roman" w:cs="Times New Roman"/>
          <w:i/>
          <w:iCs/>
          <w:kern w:val="0"/>
          <w:sz w:val="24"/>
          <w:szCs w:val="24"/>
          <w:u w:val="single"/>
          <w14:ligatures w14:val="none"/>
        </w:rPr>
        <w:t>name of final policymaker</w:t>
      </w:r>
      <w:r w:rsidRPr="00D0065B">
        <w:rPr>
          <w:rFonts w:ascii="Times New Roman" w:eastAsia="Calibri" w:hAnsi="Times New Roman" w:cs="Times New Roman"/>
          <w:kern w:val="0"/>
          <w:sz w:val="24"/>
          <w:szCs w:val="24"/>
          <w14:ligatures w14:val="none"/>
        </w:rPr>
        <w:t>] had final policymaking authority from defendant [</w:t>
      </w:r>
      <w:r w:rsidRPr="00D0065B">
        <w:rPr>
          <w:rFonts w:ascii="Times New Roman" w:eastAsia="Calibri" w:hAnsi="Times New Roman" w:cs="Times New Roman"/>
          <w:i/>
          <w:iCs/>
          <w:kern w:val="0"/>
          <w:sz w:val="24"/>
          <w:szCs w:val="24"/>
          <w:u w:val="single"/>
          <w14:ligatures w14:val="none"/>
        </w:rPr>
        <w:t>name of local governing body</w:t>
      </w:r>
      <w:r w:rsidRPr="00D0065B">
        <w:rPr>
          <w:rFonts w:ascii="Times New Roman" w:eastAsia="Calibri" w:hAnsi="Times New Roman" w:cs="Times New Roman"/>
          <w:kern w:val="0"/>
          <w:sz w:val="24"/>
          <w:szCs w:val="24"/>
          <w14:ligatures w14:val="none"/>
        </w:rPr>
        <w:t>] concerning the [act[s]] [failure to act] of [</w:t>
      </w:r>
      <w:r w:rsidRPr="00D0065B">
        <w:rPr>
          <w:rFonts w:ascii="Times New Roman" w:eastAsia="Calibri" w:hAnsi="Times New Roman" w:cs="Times New Roman"/>
          <w:i/>
          <w:iCs/>
          <w:kern w:val="0"/>
          <w:sz w:val="24"/>
          <w:szCs w:val="24"/>
          <w:u w:val="single"/>
          <w14:ligatures w14:val="none"/>
        </w:rPr>
        <w:t>name of defendant’s employee</w:t>
      </w:r>
      <w:r w:rsidRPr="00D0065B">
        <w:rPr>
          <w:rFonts w:ascii="Times New Roman" w:eastAsia="Calibri" w:hAnsi="Times New Roman" w:cs="Times New Roman"/>
          <w:kern w:val="0"/>
          <w:sz w:val="24"/>
          <w:szCs w:val="24"/>
          <w14:ligatures w14:val="none"/>
        </w:rPr>
        <w:t>]; and</w:t>
      </w:r>
    </w:p>
    <w:p w14:paraId="627AB3B6" w14:textId="77777777" w:rsidR="00D0065B" w:rsidRPr="00D0065B" w:rsidRDefault="00D0065B" w:rsidP="00D0065B">
      <w:pPr>
        <w:tabs>
          <w:tab w:val="left" w:pos="990"/>
        </w:tabs>
        <w:autoSpaceDE w:val="0"/>
        <w:autoSpaceDN w:val="0"/>
        <w:adjustRightInd w:val="0"/>
        <w:spacing w:after="0" w:line="240" w:lineRule="auto"/>
        <w:rPr>
          <w:rFonts w:ascii="Times New Roman" w:eastAsia="Calibri" w:hAnsi="Times New Roman" w:cs="Times New Roman"/>
          <w:kern w:val="0"/>
          <w:sz w:val="24"/>
          <w:szCs w:val="24"/>
          <w14:ligatures w14:val="none"/>
        </w:rPr>
      </w:pPr>
    </w:p>
    <w:p w14:paraId="184D3605" w14:textId="77777777" w:rsidR="00D0065B" w:rsidRPr="00D0065B" w:rsidRDefault="00D0065B" w:rsidP="00D0065B">
      <w:pPr>
        <w:tabs>
          <w:tab w:val="left" w:pos="720"/>
          <w:tab w:val="left" w:pos="990"/>
        </w:tabs>
        <w:autoSpaceDE w:val="0"/>
        <w:autoSpaceDN w:val="0"/>
        <w:adjustRightInd w:val="0"/>
        <w:spacing w:after="0" w:line="240" w:lineRule="auto"/>
        <w:rPr>
          <w:rFonts w:ascii="Times New Roman" w:eastAsia="Calibri" w:hAnsi="Times New Roman" w:cs="Times New Roman"/>
          <w:b/>
          <w:bCs/>
          <w:kern w:val="0"/>
          <w:sz w:val="24"/>
          <w:szCs w:val="24"/>
          <w14:ligatures w14:val="none"/>
        </w:rPr>
      </w:pPr>
      <w:r w:rsidRPr="00D0065B">
        <w:rPr>
          <w:rFonts w:ascii="Times New Roman" w:eastAsia="Calibri" w:hAnsi="Times New Roman" w:cs="Times New Roman"/>
          <w:kern w:val="0"/>
          <w:sz w:val="24"/>
          <w:szCs w:val="24"/>
          <w14:ligatures w14:val="none"/>
        </w:rPr>
        <w:tab/>
        <w:t>Fifth, [</w:t>
      </w:r>
      <w:r w:rsidRPr="00D0065B">
        <w:rPr>
          <w:rFonts w:ascii="Times New Roman" w:eastAsia="Calibri" w:hAnsi="Times New Roman" w:cs="Times New Roman"/>
          <w:i/>
          <w:iCs/>
          <w:kern w:val="0"/>
          <w:sz w:val="24"/>
          <w:szCs w:val="24"/>
          <w:u w:val="single"/>
          <w14:ligatures w14:val="none"/>
        </w:rPr>
        <w:t>name of final policymaker</w:t>
      </w:r>
      <w:r w:rsidRPr="00D0065B">
        <w:rPr>
          <w:rFonts w:ascii="Times New Roman" w:eastAsia="Calibri" w:hAnsi="Times New Roman" w:cs="Times New Roman"/>
          <w:kern w:val="0"/>
          <w:sz w:val="24"/>
          <w:szCs w:val="24"/>
          <w14:ligatures w14:val="none"/>
        </w:rPr>
        <w:t>] ratified [</w:t>
      </w:r>
      <w:r w:rsidRPr="00D0065B">
        <w:rPr>
          <w:rFonts w:ascii="Times New Roman" w:eastAsia="Calibri" w:hAnsi="Times New Roman" w:cs="Times New Roman"/>
          <w:i/>
          <w:iCs/>
          <w:kern w:val="0"/>
          <w:sz w:val="24"/>
          <w:szCs w:val="24"/>
          <w:u w:val="single"/>
          <w14:ligatures w14:val="none"/>
        </w:rPr>
        <w:t>name of defendant’s employee</w:t>
      </w:r>
      <w:r w:rsidRPr="00D0065B">
        <w:rPr>
          <w:rFonts w:ascii="Times New Roman" w:eastAsia="Calibri" w:hAnsi="Times New Roman" w:cs="Times New Roman"/>
          <w:kern w:val="0"/>
          <w:sz w:val="24"/>
          <w:szCs w:val="24"/>
          <w14:ligatures w14:val="none"/>
        </w:rPr>
        <w:t>]’s [act[s] [failure to act], that is, [</w:t>
      </w:r>
      <w:r w:rsidRPr="00D0065B">
        <w:rPr>
          <w:rFonts w:ascii="Times New Roman" w:eastAsia="Calibri" w:hAnsi="Times New Roman" w:cs="Times New Roman"/>
          <w:i/>
          <w:iCs/>
          <w:kern w:val="0"/>
          <w:sz w:val="24"/>
          <w:szCs w:val="24"/>
          <w:u w:val="single"/>
          <w14:ligatures w14:val="none"/>
        </w:rPr>
        <w:t>name of alleged final policymaker</w:t>
      </w:r>
      <w:r w:rsidRPr="00D0065B">
        <w:rPr>
          <w:rFonts w:ascii="Times New Roman" w:eastAsia="Calibri" w:hAnsi="Times New Roman" w:cs="Times New Roman"/>
          <w:kern w:val="0"/>
          <w:sz w:val="24"/>
          <w:szCs w:val="24"/>
          <w14:ligatures w14:val="none"/>
        </w:rPr>
        <w:t>] knew of and specifically made a deliberate choice to approve [</w:t>
      </w:r>
      <w:r w:rsidRPr="00D0065B">
        <w:rPr>
          <w:rFonts w:ascii="Times New Roman" w:eastAsia="Calibri" w:hAnsi="Times New Roman" w:cs="Times New Roman"/>
          <w:i/>
          <w:iCs/>
          <w:kern w:val="0"/>
          <w:sz w:val="24"/>
          <w:szCs w:val="24"/>
          <w:u w:val="single"/>
          <w14:ligatures w14:val="none"/>
        </w:rPr>
        <w:t>name of defendant’s employee</w:t>
      </w:r>
      <w:r w:rsidRPr="00D0065B">
        <w:rPr>
          <w:rFonts w:ascii="Times New Roman" w:eastAsia="Calibri" w:hAnsi="Times New Roman" w:cs="Times New Roman"/>
          <w:kern w:val="0"/>
          <w:sz w:val="24"/>
          <w:szCs w:val="24"/>
          <w14:ligatures w14:val="none"/>
        </w:rPr>
        <w:t>]’s [act[s]] [failure to act] and the basis for it.</w:t>
      </w:r>
      <w:r w:rsidRPr="00D0065B">
        <w:rPr>
          <w:rFonts w:ascii="Times New Roman" w:eastAsia="Calibri" w:hAnsi="Times New Roman" w:cs="Times New Roman"/>
          <w:kern w:val="0"/>
          <w:sz w:val="24"/>
          <w:szCs w:val="24"/>
          <w14:ligatures w14:val="none"/>
        </w:rPr>
        <w:tab/>
      </w:r>
    </w:p>
    <w:p w14:paraId="651E1CAE" w14:textId="77777777" w:rsidR="00D0065B" w:rsidRPr="00D0065B" w:rsidRDefault="00D0065B" w:rsidP="00D0065B">
      <w:pPr>
        <w:autoSpaceDE w:val="0"/>
        <w:autoSpaceDN w:val="0"/>
        <w:adjustRightInd w:val="0"/>
        <w:spacing w:after="0" w:line="240" w:lineRule="auto"/>
        <w:rPr>
          <w:rFonts w:ascii="Times New Roman" w:eastAsia="Calibri" w:hAnsi="Times New Roman" w:cs="Times New Roman"/>
          <w:b/>
          <w:bCs/>
          <w:kern w:val="0"/>
          <w:sz w:val="24"/>
          <w:szCs w:val="24"/>
          <w14:ligatures w14:val="none"/>
        </w:rPr>
      </w:pPr>
    </w:p>
    <w:p w14:paraId="4F3F2843" w14:textId="77777777" w:rsidR="00D0065B" w:rsidRPr="00D0065B" w:rsidRDefault="00D0065B" w:rsidP="00D0065B">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D0065B">
        <w:rPr>
          <w:rFonts w:ascii="Times New Roman" w:eastAsia="Calibri" w:hAnsi="Times New Roman" w:cs="Times New Roman"/>
          <w:kern w:val="0"/>
          <w:sz w:val="24"/>
          <w:szCs w:val="24"/>
          <w14:ligatures w14:val="none"/>
        </w:rPr>
        <w:tab/>
        <w:t>A person acts “under color of state law” when the person acts or purports to act in the performance of official duties under any state, county, or municipal law, ordinance, or regulation. [[The parties have stipulated that] [I instruct you that] the defendant’s [employee] [official] acted under color of state law.]</w:t>
      </w:r>
    </w:p>
    <w:p w14:paraId="44F85F24" w14:textId="77777777" w:rsidR="00D0065B" w:rsidRPr="00D0065B" w:rsidRDefault="00D0065B" w:rsidP="00D0065B">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0766C8E4" w14:textId="77777777" w:rsidR="00D0065B" w:rsidRPr="00D0065B" w:rsidRDefault="00D0065B" w:rsidP="00D0065B">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D0065B">
        <w:rPr>
          <w:rFonts w:ascii="Times New Roman" w:eastAsia="Calibri" w:hAnsi="Times New Roman" w:cs="Times New Roman"/>
          <w:kern w:val="0"/>
          <w:sz w:val="24"/>
          <w:szCs w:val="24"/>
          <w14:ligatures w14:val="none"/>
        </w:rPr>
        <w:tab/>
        <w:t>I instruct you that [</w:t>
      </w:r>
      <w:r w:rsidRPr="00D0065B">
        <w:rPr>
          <w:rFonts w:ascii="Times New Roman" w:eastAsia="Calibri" w:hAnsi="Times New Roman" w:cs="Times New Roman"/>
          <w:i/>
          <w:iCs/>
          <w:kern w:val="0"/>
          <w:sz w:val="24"/>
          <w:szCs w:val="24"/>
          <w:u w:val="single"/>
          <w14:ligatures w14:val="none"/>
        </w:rPr>
        <w:t>name of final policymaker</w:t>
      </w:r>
      <w:r w:rsidRPr="00D0065B">
        <w:rPr>
          <w:rFonts w:ascii="Times New Roman" w:eastAsia="Calibri" w:hAnsi="Times New Roman" w:cs="Times New Roman"/>
          <w:kern w:val="0"/>
          <w:sz w:val="24"/>
          <w:szCs w:val="24"/>
          <w14:ligatures w14:val="none"/>
        </w:rPr>
        <w:t>] had final policymaking authority from defendant [</w:t>
      </w:r>
      <w:r w:rsidRPr="00D0065B">
        <w:rPr>
          <w:rFonts w:ascii="Times New Roman" w:eastAsia="Calibri" w:hAnsi="Times New Roman" w:cs="Times New Roman"/>
          <w:i/>
          <w:iCs/>
          <w:kern w:val="0"/>
          <w:sz w:val="24"/>
          <w:szCs w:val="24"/>
          <w:u w:val="single"/>
          <w14:ligatures w14:val="none"/>
        </w:rPr>
        <w:t>name of local governing body</w:t>
      </w:r>
      <w:r w:rsidRPr="00D0065B">
        <w:rPr>
          <w:rFonts w:ascii="Times New Roman" w:eastAsia="Calibri" w:hAnsi="Times New Roman" w:cs="Times New Roman"/>
          <w:kern w:val="0"/>
          <w:sz w:val="24"/>
          <w:szCs w:val="24"/>
          <w14:ligatures w14:val="none"/>
        </w:rPr>
        <w:t xml:space="preserve">] concerning the act[s] at issue and, therefore, the fourth element requires no proof. </w:t>
      </w:r>
    </w:p>
    <w:p w14:paraId="0D357A05" w14:textId="77777777" w:rsidR="00D0065B" w:rsidRPr="00D0065B" w:rsidRDefault="00D0065B" w:rsidP="00D0065B">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5796C537" w14:textId="77777777" w:rsidR="00D0065B" w:rsidRPr="00D0065B" w:rsidRDefault="00D0065B" w:rsidP="00D006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Calibri" w:hAnsi="Times New Roman" w:cs="Times New Roman"/>
          <w:kern w:val="0"/>
          <w:sz w:val="24"/>
          <w:szCs w:val="24"/>
          <w14:ligatures w14:val="none"/>
        </w:rPr>
      </w:pPr>
      <w:r w:rsidRPr="00D0065B">
        <w:rPr>
          <w:rFonts w:ascii="Times New Roman" w:eastAsia="Calibri" w:hAnsi="Times New Roman" w:cs="Times New Roman"/>
          <w:kern w:val="0"/>
          <w:sz w:val="24"/>
          <w:szCs w:val="24"/>
          <w14:ligatures w14:val="none"/>
        </w:rPr>
        <w:tab/>
        <w:t>If you find that the plaintiff [</w:t>
      </w:r>
      <w:r w:rsidRPr="00D0065B">
        <w:rPr>
          <w:rFonts w:ascii="Times New Roman" w:eastAsia="Calibri" w:hAnsi="Times New Roman" w:cs="Times New Roman"/>
          <w:i/>
          <w:iCs/>
          <w:kern w:val="0"/>
          <w:sz w:val="24"/>
          <w:szCs w:val="24"/>
          <w:u w:val="single"/>
          <w14:ligatures w14:val="none"/>
        </w:rPr>
        <w:t>name</w:t>
      </w:r>
      <w:r w:rsidRPr="00D0065B">
        <w:rPr>
          <w:rFonts w:ascii="Times New Roman" w:eastAsia="Calibri" w:hAnsi="Times New Roman" w:cs="Times New Roman"/>
          <w:kern w:val="0"/>
          <w:sz w:val="24"/>
          <w:szCs w:val="24"/>
          <w14:ligatures w14:val="none"/>
        </w:rPr>
        <w:t>] has proved each of these elements, and if you find that the plaintiff [</w:t>
      </w:r>
      <w:r w:rsidRPr="00D0065B">
        <w:rPr>
          <w:rFonts w:ascii="Times New Roman" w:eastAsia="Calibri" w:hAnsi="Times New Roman" w:cs="Times New Roman"/>
          <w:i/>
          <w:iCs/>
          <w:kern w:val="0"/>
          <w:sz w:val="24"/>
          <w:szCs w:val="24"/>
          <w:u w:val="single"/>
          <w14:ligatures w14:val="none"/>
        </w:rPr>
        <w:t>name</w:t>
      </w:r>
      <w:r w:rsidRPr="00D0065B">
        <w:rPr>
          <w:rFonts w:ascii="Times New Roman" w:eastAsia="Calibri" w:hAnsi="Times New Roman" w:cs="Times New Roman"/>
          <w:kern w:val="0"/>
          <w:sz w:val="24"/>
          <w:szCs w:val="24"/>
          <w14:ligatures w14:val="none"/>
        </w:rPr>
        <w:t>] has proved all the elements the plaintiff [</w:t>
      </w:r>
      <w:r w:rsidRPr="00D0065B">
        <w:rPr>
          <w:rFonts w:ascii="Times New Roman" w:eastAsia="Calibri" w:hAnsi="Times New Roman" w:cs="Times New Roman"/>
          <w:i/>
          <w:iCs/>
          <w:kern w:val="0"/>
          <w:sz w:val="24"/>
          <w:szCs w:val="24"/>
          <w:u w:val="single"/>
          <w14:ligatures w14:val="none"/>
        </w:rPr>
        <w:t>name</w:t>
      </w:r>
      <w:r w:rsidRPr="00D0065B">
        <w:rPr>
          <w:rFonts w:ascii="Times New Roman" w:eastAsia="Calibri" w:hAnsi="Times New Roman" w:cs="Times New Roman"/>
          <w:kern w:val="0"/>
          <w:sz w:val="24"/>
          <w:szCs w:val="24"/>
          <w14:ligatures w14:val="none"/>
        </w:rPr>
        <w:t>] is required to prove under Instruction[s] [</w:t>
      </w:r>
      <w:r w:rsidRPr="00D0065B">
        <w:rPr>
          <w:rFonts w:ascii="Times New Roman" w:eastAsia="Calibri" w:hAnsi="Times New Roman" w:cs="Times New Roman"/>
          <w:i/>
          <w:iCs/>
          <w:kern w:val="0"/>
          <w:sz w:val="24"/>
          <w:szCs w:val="24"/>
          <w:u w:val="single"/>
          <w14:ligatures w14:val="none"/>
        </w:rPr>
        <w:t>specify the instruction[s] that deal with the particular right[s]</w:t>
      </w:r>
      <w:r w:rsidRPr="00D0065B">
        <w:rPr>
          <w:rFonts w:ascii="Times New Roman" w:eastAsia="Calibri" w:hAnsi="Times New Roman" w:cs="Times New Roman"/>
          <w:kern w:val="0"/>
          <w:sz w:val="24"/>
          <w:szCs w:val="24"/>
          <w14:ligatures w14:val="none"/>
        </w:rPr>
        <w:t>], your verdict should be for the plaintiff [</w:t>
      </w:r>
      <w:r w:rsidRPr="00D0065B">
        <w:rPr>
          <w:rFonts w:ascii="Times New Roman" w:eastAsia="Calibri" w:hAnsi="Times New Roman" w:cs="Times New Roman"/>
          <w:i/>
          <w:iCs/>
          <w:kern w:val="0"/>
          <w:sz w:val="24"/>
          <w:szCs w:val="24"/>
          <w:u w:val="single"/>
          <w14:ligatures w14:val="none"/>
        </w:rPr>
        <w:t>name</w:t>
      </w:r>
      <w:r w:rsidRPr="00D0065B">
        <w:rPr>
          <w:rFonts w:ascii="Times New Roman" w:eastAsia="Calibri" w:hAnsi="Times New Roman" w:cs="Times New Roman"/>
          <w:kern w:val="0"/>
          <w:sz w:val="24"/>
          <w:szCs w:val="24"/>
          <w14:ligatures w14:val="none"/>
        </w:rPr>
        <w:t>]. If, on the other hand, the plaintiff [</w:t>
      </w:r>
      <w:r w:rsidRPr="00D0065B">
        <w:rPr>
          <w:rFonts w:ascii="Times New Roman" w:eastAsia="Calibri" w:hAnsi="Times New Roman" w:cs="Times New Roman"/>
          <w:i/>
          <w:iCs/>
          <w:kern w:val="0"/>
          <w:sz w:val="24"/>
          <w:szCs w:val="24"/>
          <w:u w:val="single"/>
          <w14:ligatures w14:val="none"/>
        </w:rPr>
        <w:t>name</w:t>
      </w:r>
      <w:r w:rsidRPr="00D0065B">
        <w:rPr>
          <w:rFonts w:ascii="Times New Roman" w:eastAsia="Calibri" w:hAnsi="Times New Roman" w:cs="Times New Roman"/>
          <w:kern w:val="0"/>
          <w:sz w:val="24"/>
          <w:szCs w:val="24"/>
          <w14:ligatures w14:val="none"/>
        </w:rPr>
        <w:t>] has failed to prove any one or more of these elements, your verdict should be for the defendant [</w:t>
      </w:r>
      <w:r w:rsidRPr="00D0065B">
        <w:rPr>
          <w:rFonts w:ascii="Times New Roman" w:eastAsia="Calibri" w:hAnsi="Times New Roman" w:cs="Times New Roman"/>
          <w:i/>
          <w:iCs/>
          <w:kern w:val="0"/>
          <w:sz w:val="24"/>
          <w:szCs w:val="24"/>
          <w:u w:val="single"/>
          <w14:ligatures w14:val="none"/>
        </w:rPr>
        <w:t>name of local governing body</w:t>
      </w:r>
      <w:r w:rsidRPr="00D0065B">
        <w:rPr>
          <w:rFonts w:ascii="Times New Roman" w:eastAsia="Calibri" w:hAnsi="Times New Roman" w:cs="Times New Roman"/>
          <w:kern w:val="0"/>
          <w:sz w:val="24"/>
          <w:szCs w:val="24"/>
          <w14:ligatures w14:val="none"/>
        </w:rPr>
        <w:t>].</w:t>
      </w:r>
    </w:p>
    <w:p w14:paraId="4E18C00C" w14:textId="77777777" w:rsidR="00D0065B" w:rsidRPr="00D0065B" w:rsidRDefault="00D0065B" w:rsidP="00D006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Calibri" w:hAnsi="Times New Roman" w:cs="Times New Roman"/>
          <w:kern w:val="0"/>
          <w:sz w:val="24"/>
          <w:szCs w:val="24"/>
          <w14:ligatures w14:val="none"/>
        </w:rPr>
      </w:pPr>
    </w:p>
    <w:p w14:paraId="268C69DF" w14:textId="77777777" w:rsidR="00D0065B" w:rsidRPr="00D0065B" w:rsidRDefault="00D0065B" w:rsidP="00D006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sidRPr="00D0065B">
        <w:rPr>
          <w:rFonts w:ascii="Times New Roman" w:eastAsia="Calibri" w:hAnsi="Times New Roman" w:cs="Times New Roman"/>
          <w:b/>
          <w:bCs/>
          <w:kern w:val="0"/>
          <w:sz w:val="24"/>
          <w:szCs w:val="24"/>
          <w14:ligatures w14:val="none"/>
        </w:rPr>
        <w:t>Comment</w:t>
      </w:r>
    </w:p>
    <w:p w14:paraId="73C65DDC" w14:textId="77777777" w:rsidR="00D0065B" w:rsidRPr="00D0065B" w:rsidRDefault="00D0065B" w:rsidP="00D006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Calibri" w:hAnsi="Times New Roman" w:cs="Times New Roman"/>
          <w:kern w:val="0"/>
          <w:sz w:val="24"/>
          <w:szCs w:val="24"/>
          <w14:ligatures w14:val="none"/>
        </w:rPr>
      </w:pPr>
    </w:p>
    <w:p w14:paraId="1C0BB690" w14:textId="77777777" w:rsidR="00D0065B" w:rsidRPr="00D0065B" w:rsidRDefault="00D0065B" w:rsidP="00D006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Calibri" w:hAnsi="Times New Roman" w:cs="Times New Roman"/>
          <w:kern w:val="0"/>
          <w:sz w:val="24"/>
          <w:szCs w:val="24"/>
          <w14:ligatures w14:val="none"/>
        </w:rPr>
      </w:pPr>
      <w:r w:rsidRPr="00D0065B">
        <w:rPr>
          <w:rFonts w:ascii="Times New Roman" w:eastAsia="Calibri" w:hAnsi="Times New Roman" w:cs="Times New Roman"/>
          <w:kern w:val="0"/>
          <w:sz w:val="24"/>
          <w:szCs w:val="24"/>
          <w14:ligatures w14:val="none"/>
        </w:rPr>
        <w:tab/>
        <w:t xml:space="preserve">Use this instruction only in conjunction with an applicable “particular rights” instruction, such as Instructions 9.9-9.38. Such an instruction should set forth the additional elements a </w:t>
      </w:r>
      <w:r w:rsidRPr="00D0065B">
        <w:rPr>
          <w:rFonts w:ascii="Times New Roman" w:eastAsia="Calibri" w:hAnsi="Times New Roman" w:cs="Times New Roman"/>
          <w:kern w:val="0"/>
          <w:sz w:val="24"/>
          <w:szCs w:val="24"/>
          <w14:ligatures w14:val="none"/>
        </w:rPr>
        <w:lastRenderedPageBreak/>
        <w:t xml:space="preserve">plaintiff must establish to prove the violation of the particular constitutional right or federal law at issue. </w:t>
      </w:r>
    </w:p>
    <w:p w14:paraId="08676CAF" w14:textId="77777777" w:rsidR="00D0065B" w:rsidRPr="00D0065B" w:rsidRDefault="00D0065B" w:rsidP="00D006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Calibri" w:hAnsi="Times New Roman" w:cs="Times New Roman"/>
          <w:kern w:val="0"/>
          <w:sz w:val="24"/>
          <w:szCs w:val="24"/>
          <w14:ligatures w14:val="none"/>
        </w:rPr>
      </w:pPr>
    </w:p>
    <w:p w14:paraId="02C13C29" w14:textId="77777777" w:rsidR="00D0065B" w:rsidRPr="00D0065B" w:rsidRDefault="00D0065B" w:rsidP="00D006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Calibri" w:hAnsi="Times New Roman" w:cs="Times New Roman"/>
          <w:i/>
          <w:iCs/>
          <w:kern w:val="0"/>
          <w:sz w:val="24"/>
          <w:szCs w:val="24"/>
          <w14:ligatures w14:val="none"/>
        </w:rPr>
      </w:pPr>
      <w:r w:rsidRPr="00D0065B">
        <w:rPr>
          <w:rFonts w:ascii="Times New Roman" w:eastAsia="Calibri" w:hAnsi="Times New Roman" w:cs="Times New Roman"/>
          <w:kern w:val="0"/>
          <w:sz w:val="24"/>
          <w:szCs w:val="24"/>
          <w14:ligatures w14:val="none"/>
        </w:rPr>
        <w:tab/>
        <w:t xml:space="preserve">In addition, use this instruction only when </w:t>
      </w:r>
      <w:r w:rsidRPr="00D0065B">
        <w:rPr>
          <w:rFonts w:ascii="Times New Roman" w:eastAsia="Calibri" w:hAnsi="Times New Roman" w:cs="Times New Roman"/>
          <w:i/>
          <w:iCs/>
          <w:kern w:val="0"/>
          <w:sz w:val="24"/>
          <w:szCs w:val="24"/>
          <w14:ligatures w14:val="none"/>
        </w:rPr>
        <w:t xml:space="preserve">Monell </w:t>
      </w:r>
      <w:r w:rsidRPr="00D0065B">
        <w:rPr>
          <w:rFonts w:ascii="Times New Roman" w:eastAsia="Calibri" w:hAnsi="Times New Roman" w:cs="Times New Roman"/>
          <w:kern w:val="0"/>
          <w:sz w:val="24"/>
          <w:szCs w:val="24"/>
          <w14:ligatures w14:val="none"/>
        </w:rPr>
        <w:t xml:space="preserve">liability is based on ratification by a final policymaker. For other bases of </w:t>
      </w:r>
      <w:r w:rsidRPr="00D0065B">
        <w:rPr>
          <w:rFonts w:ascii="Times New Roman" w:eastAsia="Calibri" w:hAnsi="Times New Roman" w:cs="Times New Roman"/>
          <w:i/>
          <w:iCs/>
          <w:kern w:val="0"/>
          <w:sz w:val="24"/>
          <w:szCs w:val="24"/>
          <w14:ligatures w14:val="none"/>
        </w:rPr>
        <w:t xml:space="preserve">Monell </w:t>
      </w:r>
      <w:r w:rsidRPr="00D0065B">
        <w:rPr>
          <w:rFonts w:ascii="Times New Roman" w:eastAsia="Calibri" w:hAnsi="Times New Roman" w:cs="Times New Roman"/>
          <w:kern w:val="0"/>
          <w:sz w:val="24"/>
          <w:szCs w:val="24"/>
          <w14:ligatures w14:val="none"/>
        </w:rPr>
        <w:t xml:space="preserve">liability, see Instructions 9.5 (Section 1983 Claim Against Local Governing Body Defendants Based on Unlawful Official Policy, Practice, or Custom—Elements and Burden of Proof), 9.6 (Section 1983 Claim Against Local Governing Body Defendants Based on Act of Final Policymaker—Elements and Burden of Proof), and 9.8 (Section 1983 Claim Against Local Governing Body Defendants Based on a Policy that Fails to Prevent Violations of Law or a Policy of Failure to Train—Elements and Burden of Proof). </w:t>
      </w:r>
    </w:p>
    <w:p w14:paraId="4A2DA86B" w14:textId="77777777" w:rsidR="00D0065B" w:rsidRPr="00D0065B" w:rsidRDefault="00D0065B" w:rsidP="00D006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Calibri" w:hAnsi="Times New Roman" w:cs="Times New Roman"/>
          <w:b/>
          <w:bCs/>
          <w:kern w:val="0"/>
          <w:sz w:val="24"/>
          <w:szCs w:val="24"/>
          <w14:ligatures w14:val="none"/>
        </w:rPr>
      </w:pPr>
    </w:p>
    <w:p w14:paraId="54A2DB34" w14:textId="77777777" w:rsidR="00D0065B" w:rsidRPr="00D0065B" w:rsidRDefault="00D0065B" w:rsidP="00D006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Calibri" w:hAnsi="Times New Roman" w:cs="Times New Roman"/>
          <w:kern w:val="0"/>
          <w:sz w:val="24"/>
          <w:szCs w:val="24"/>
          <w14:ligatures w14:val="none"/>
        </w:rPr>
      </w:pPr>
      <w:r w:rsidRPr="00D0065B">
        <w:rPr>
          <w:rFonts w:ascii="Times New Roman" w:eastAsia="Calibri" w:hAnsi="Times New Roman" w:cs="Times New Roman"/>
          <w:b/>
          <w:bCs/>
          <w:kern w:val="0"/>
          <w:sz w:val="24"/>
          <w:szCs w:val="24"/>
          <w14:ligatures w14:val="none"/>
        </w:rPr>
        <w:tab/>
      </w:r>
      <w:r w:rsidRPr="00D0065B">
        <w:rPr>
          <w:rFonts w:ascii="Times New Roman" w:eastAsia="Calibri" w:hAnsi="Times New Roman" w:cs="Times New Roman"/>
          <w:kern w:val="0"/>
          <w:sz w:val="24"/>
          <w:szCs w:val="24"/>
          <w14:ligatures w14:val="none"/>
        </w:rPr>
        <w:t xml:space="preserve">As noted in the Introductory Comment to this Chapter, § 1983 liability of a local governing body lies when “action pursuant to official municipal policy of some nature caused a constitutional tort,” and not on the basis of </w:t>
      </w:r>
      <w:r w:rsidRPr="00D0065B">
        <w:rPr>
          <w:rFonts w:ascii="Times New Roman" w:eastAsia="Calibri" w:hAnsi="Times New Roman" w:cs="Times New Roman"/>
          <w:i/>
          <w:iCs/>
          <w:kern w:val="0"/>
          <w:sz w:val="24"/>
          <w:szCs w:val="24"/>
          <w14:ligatures w14:val="none"/>
        </w:rPr>
        <w:t>respondeat</w:t>
      </w:r>
      <w:r w:rsidRPr="00D0065B">
        <w:rPr>
          <w:rFonts w:ascii="Times New Roman" w:eastAsia="Calibri" w:hAnsi="Times New Roman" w:cs="Times New Roman"/>
          <w:kern w:val="0"/>
          <w:sz w:val="24"/>
          <w:szCs w:val="24"/>
          <w14:ligatures w14:val="none"/>
        </w:rPr>
        <w:t xml:space="preserve"> </w:t>
      </w:r>
      <w:r w:rsidRPr="00D0065B">
        <w:rPr>
          <w:rFonts w:ascii="Times New Roman" w:eastAsia="Calibri" w:hAnsi="Times New Roman" w:cs="Times New Roman"/>
          <w:i/>
          <w:iCs/>
          <w:kern w:val="0"/>
          <w:sz w:val="24"/>
          <w:szCs w:val="24"/>
          <w14:ligatures w14:val="none"/>
        </w:rPr>
        <w:t>superior</w:t>
      </w:r>
      <w:r w:rsidRPr="00D0065B">
        <w:rPr>
          <w:rFonts w:ascii="Times New Roman" w:eastAsia="Calibri" w:hAnsi="Times New Roman" w:cs="Times New Roman"/>
          <w:kern w:val="0"/>
          <w:sz w:val="24"/>
          <w:szCs w:val="24"/>
          <w14:ligatures w14:val="none"/>
        </w:rPr>
        <w:t xml:space="preserve">. </w:t>
      </w:r>
      <w:r w:rsidRPr="00D0065B">
        <w:rPr>
          <w:rFonts w:ascii="Times New Roman" w:eastAsia="Calibri" w:hAnsi="Times New Roman" w:cs="Times New Roman"/>
          <w:i/>
          <w:iCs/>
          <w:kern w:val="0"/>
          <w:sz w:val="24"/>
          <w:szCs w:val="24"/>
          <w14:ligatures w14:val="none"/>
        </w:rPr>
        <w:t>Monell v. Dep’t of Soc. Servs. of N.Y.</w:t>
      </w:r>
      <w:r w:rsidRPr="00D0065B">
        <w:rPr>
          <w:rFonts w:ascii="Times New Roman" w:eastAsia="Calibri" w:hAnsi="Times New Roman" w:cs="Times New Roman"/>
          <w:kern w:val="0"/>
          <w:sz w:val="24"/>
          <w:szCs w:val="24"/>
          <w14:ligatures w14:val="none"/>
        </w:rPr>
        <w:t xml:space="preserve">, 436 U.S. 658, 691 (1978). A municipality can be liable for an isolated constitutional violation if a final policymaker “ratified” a subordinate’s actions. </w:t>
      </w:r>
      <w:r w:rsidRPr="00D0065B">
        <w:rPr>
          <w:rFonts w:ascii="Times New Roman" w:eastAsia="Calibri" w:hAnsi="Times New Roman" w:cs="Times New Roman"/>
          <w:i/>
          <w:iCs/>
          <w:kern w:val="0"/>
          <w:sz w:val="24"/>
          <w:szCs w:val="24"/>
          <w14:ligatures w14:val="none"/>
        </w:rPr>
        <w:t>Sabra v. Maricopa Cnty. Cmty. Coll. Dist.</w:t>
      </w:r>
      <w:r w:rsidRPr="00D0065B">
        <w:rPr>
          <w:rFonts w:ascii="Times New Roman" w:eastAsia="Calibri" w:hAnsi="Times New Roman" w:cs="Times New Roman"/>
          <w:kern w:val="0"/>
          <w:sz w:val="24"/>
          <w:szCs w:val="24"/>
          <w14:ligatures w14:val="none"/>
        </w:rPr>
        <w:t xml:space="preserve">, 44 F.4th 867, 885 (9th Cir. 2022); </w:t>
      </w:r>
      <w:r w:rsidRPr="00D0065B">
        <w:rPr>
          <w:rFonts w:ascii="Times New Roman" w:eastAsia="Calibri" w:hAnsi="Times New Roman" w:cs="Times New Roman"/>
          <w:i/>
          <w:iCs/>
          <w:kern w:val="0"/>
          <w:sz w:val="24"/>
          <w:szCs w:val="24"/>
          <w14:ligatures w14:val="none"/>
        </w:rPr>
        <w:t>Christie v. Iopa</w:t>
      </w:r>
      <w:r w:rsidRPr="00D0065B">
        <w:rPr>
          <w:rFonts w:ascii="Times New Roman" w:eastAsia="Calibri" w:hAnsi="Times New Roman" w:cs="Times New Roman"/>
          <w:kern w:val="0"/>
          <w:sz w:val="24"/>
          <w:szCs w:val="24"/>
          <w14:ligatures w14:val="none"/>
        </w:rPr>
        <w:t xml:space="preserve">, 176 F.3d 1231, 1238 (9th Cir. 1999); </w:t>
      </w:r>
      <w:r w:rsidRPr="00D0065B">
        <w:rPr>
          <w:rFonts w:ascii="Times New Roman" w:eastAsia="Calibri" w:hAnsi="Times New Roman" w:cs="Times New Roman"/>
          <w:i/>
          <w:iCs/>
          <w:kern w:val="0"/>
          <w:sz w:val="24"/>
          <w:szCs w:val="24"/>
          <w14:ligatures w14:val="none"/>
        </w:rPr>
        <w:t>see</w:t>
      </w:r>
      <w:r w:rsidRPr="00D0065B">
        <w:rPr>
          <w:rFonts w:ascii="Times New Roman" w:eastAsia="Calibri" w:hAnsi="Times New Roman" w:cs="Times New Roman"/>
          <w:kern w:val="0"/>
          <w:sz w:val="24"/>
          <w:szCs w:val="24"/>
          <w14:ligatures w14:val="none"/>
        </w:rPr>
        <w:t xml:space="preserve"> </w:t>
      </w:r>
      <w:r w:rsidRPr="00D0065B">
        <w:rPr>
          <w:rFonts w:ascii="Times New Roman" w:eastAsia="Calibri" w:hAnsi="Times New Roman" w:cs="Times New Roman"/>
          <w:i/>
          <w:iCs/>
          <w:kern w:val="0"/>
          <w:sz w:val="24"/>
          <w:szCs w:val="24"/>
          <w14:ligatures w14:val="none"/>
        </w:rPr>
        <w:t>City of St. Louis v. Praprotnik</w:t>
      </w:r>
      <w:r w:rsidRPr="00D0065B">
        <w:rPr>
          <w:rFonts w:ascii="Times New Roman" w:eastAsia="Calibri" w:hAnsi="Times New Roman" w:cs="Times New Roman"/>
          <w:kern w:val="0"/>
          <w:sz w:val="24"/>
          <w:szCs w:val="24"/>
          <w14:ligatures w14:val="none"/>
        </w:rPr>
        <w:t xml:space="preserve">, 485 U.S. 112, 127 (1988). To show ratification, a plaintiff must prove that the authorized policymaker approved a subordinate’s decision and the basis for it. </w:t>
      </w:r>
      <w:r w:rsidRPr="00D0065B">
        <w:rPr>
          <w:rFonts w:ascii="Times New Roman" w:eastAsia="Calibri" w:hAnsi="Times New Roman" w:cs="Times New Roman"/>
          <w:i/>
          <w:iCs/>
          <w:kern w:val="0"/>
          <w:sz w:val="24"/>
          <w:szCs w:val="24"/>
          <w14:ligatures w14:val="none"/>
        </w:rPr>
        <w:t>Sabra</w:t>
      </w:r>
      <w:r w:rsidRPr="00D0065B">
        <w:rPr>
          <w:rFonts w:ascii="Times New Roman" w:eastAsia="Calibri" w:hAnsi="Times New Roman" w:cs="Times New Roman"/>
          <w:kern w:val="0"/>
          <w:sz w:val="24"/>
          <w:szCs w:val="24"/>
          <w14:ligatures w14:val="none"/>
        </w:rPr>
        <w:t xml:space="preserve">, 44 F.4th at 885. </w:t>
      </w:r>
      <w:r w:rsidRPr="00D0065B">
        <w:rPr>
          <w:rFonts w:ascii="Times New Roman" w:eastAsia="Calibri" w:hAnsi="Times New Roman" w:cs="Times New Roman"/>
          <w:i/>
          <w:iCs/>
          <w:kern w:val="0"/>
          <w:sz w:val="24"/>
          <w:szCs w:val="24"/>
          <w14:ligatures w14:val="none"/>
        </w:rPr>
        <w:t>See also Lytle v. Carl</w:t>
      </w:r>
      <w:r w:rsidRPr="00D0065B">
        <w:rPr>
          <w:rFonts w:ascii="Times New Roman" w:eastAsia="Calibri" w:hAnsi="Times New Roman" w:cs="Times New Roman"/>
          <w:kern w:val="0"/>
          <w:sz w:val="24"/>
          <w:szCs w:val="24"/>
          <w14:ligatures w14:val="none"/>
        </w:rPr>
        <w:t xml:space="preserve">, 382 F.3d 978, 987 (9th Cir. 2004) (“The policymaker must have knowledge of the constitutional violation and actually approve of it.” (citing </w:t>
      </w:r>
      <w:r w:rsidRPr="00D0065B">
        <w:rPr>
          <w:rFonts w:ascii="Times New Roman" w:eastAsia="Calibri" w:hAnsi="Times New Roman" w:cs="Times New Roman"/>
          <w:i/>
          <w:iCs/>
          <w:kern w:val="0"/>
          <w:sz w:val="24"/>
          <w:szCs w:val="24"/>
          <w14:ligatures w14:val="none"/>
        </w:rPr>
        <w:t>Praprotnik</w:t>
      </w:r>
      <w:r w:rsidRPr="00D0065B">
        <w:rPr>
          <w:rFonts w:ascii="Times New Roman" w:eastAsia="Calibri" w:hAnsi="Times New Roman" w:cs="Times New Roman"/>
          <w:kern w:val="0"/>
          <w:sz w:val="24"/>
          <w:szCs w:val="24"/>
          <w14:ligatures w14:val="none"/>
        </w:rPr>
        <w:t>, 485 U.S. at 127)).</w:t>
      </w:r>
    </w:p>
    <w:p w14:paraId="06C02B91" w14:textId="77777777" w:rsidR="00D0065B" w:rsidRPr="00D0065B" w:rsidRDefault="00D0065B" w:rsidP="00D006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Calibri" w:hAnsi="Times New Roman" w:cs="Times New Roman"/>
          <w:kern w:val="0"/>
          <w:sz w:val="24"/>
          <w:szCs w:val="24"/>
          <w14:ligatures w14:val="none"/>
        </w:rPr>
      </w:pPr>
      <w:r w:rsidRPr="00D0065B">
        <w:rPr>
          <w:rFonts w:ascii="Times New Roman" w:eastAsia="Calibri" w:hAnsi="Times New Roman" w:cs="Times New Roman"/>
          <w:kern w:val="0"/>
          <w:sz w:val="24"/>
          <w:szCs w:val="24"/>
          <w14:ligatures w14:val="none"/>
        </w:rPr>
        <w:tab/>
      </w:r>
      <w:r w:rsidRPr="00D0065B">
        <w:rPr>
          <w:rFonts w:ascii="Times New Roman" w:eastAsia="Calibri" w:hAnsi="Times New Roman" w:cs="Times New Roman"/>
          <w:kern w:val="0"/>
          <w:sz w:val="24"/>
          <w:szCs w:val="24"/>
          <w14:ligatures w14:val="none"/>
        </w:rPr>
        <w:tab/>
      </w:r>
      <w:r w:rsidRPr="00D0065B">
        <w:rPr>
          <w:rFonts w:ascii="Times New Roman" w:eastAsia="Calibri" w:hAnsi="Times New Roman" w:cs="Times New Roman"/>
          <w:kern w:val="0"/>
          <w:sz w:val="24"/>
          <w:szCs w:val="24"/>
          <w14:ligatures w14:val="none"/>
        </w:rPr>
        <w:tab/>
      </w:r>
      <w:r w:rsidRPr="00D0065B">
        <w:rPr>
          <w:rFonts w:ascii="Times New Roman" w:eastAsia="Calibri" w:hAnsi="Times New Roman" w:cs="Times New Roman"/>
          <w:kern w:val="0"/>
          <w:sz w:val="24"/>
          <w:szCs w:val="24"/>
          <w14:ligatures w14:val="none"/>
        </w:rPr>
        <w:tab/>
      </w:r>
      <w:r w:rsidRPr="00D0065B">
        <w:rPr>
          <w:rFonts w:ascii="Times New Roman" w:eastAsia="Calibri" w:hAnsi="Times New Roman" w:cs="Times New Roman"/>
          <w:kern w:val="0"/>
          <w:sz w:val="24"/>
          <w:szCs w:val="24"/>
          <w14:ligatures w14:val="none"/>
        </w:rPr>
        <w:tab/>
      </w:r>
      <w:r w:rsidRPr="00D0065B">
        <w:rPr>
          <w:rFonts w:ascii="Times New Roman" w:eastAsia="Calibri" w:hAnsi="Times New Roman" w:cs="Times New Roman"/>
          <w:kern w:val="0"/>
          <w:sz w:val="24"/>
          <w:szCs w:val="24"/>
          <w14:ligatures w14:val="none"/>
        </w:rPr>
        <w:tab/>
      </w:r>
      <w:r w:rsidRPr="00D0065B">
        <w:rPr>
          <w:rFonts w:ascii="Times New Roman" w:eastAsia="Calibri" w:hAnsi="Times New Roman" w:cs="Times New Roman"/>
          <w:kern w:val="0"/>
          <w:sz w:val="24"/>
          <w:szCs w:val="24"/>
          <w14:ligatures w14:val="none"/>
        </w:rPr>
        <w:tab/>
      </w:r>
      <w:r w:rsidRPr="00D0065B">
        <w:rPr>
          <w:rFonts w:ascii="Times New Roman" w:eastAsia="Calibri" w:hAnsi="Times New Roman" w:cs="Times New Roman"/>
          <w:kern w:val="0"/>
          <w:sz w:val="24"/>
          <w:szCs w:val="24"/>
          <w14:ligatures w14:val="none"/>
        </w:rPr>
        <w:tab/>
      </w:r>
      <w:r w:rsidRPr="00D0065B">
        <w:rPr>
          <w:rFonts w:ascii="Times New Roman" w:eastAsia="Calibri" w:hAnsi="Times New Roman" w:cs="Times New Roman"/>
          <w:kern w:val="0"/>
          <w:sz w:val="24"/>
          <w:szCs w:val="24"/>
          <w14:ligatures w14:val="none"/>
        </w:rPr>
        <w:tab/>
      </w:r>
      <w:r w:rsidRPr="00D0065B">
        <w:rPr>
          <w:rFonts w:ascii="Times New Roman" w:eastAsia="Calibri" w:hAnsi="Times New Roman" w:cs="Times New Roman"/>
          <w:kern w:val="0"/>
          <w:sz w:val="24"/>
          <w:szCs w:val="24"/>
          <w14:ligatures w14:val="none"/>
        </w:rPr>
        <w:tab/>
      </w:r>
    </w:p>
    <w:p w14:paraId="15540CB4" w14:textId="77777777" w:rsidR="00D0065B" w:rsidRPr="00D0065B" w:rsidRDefault="00D0065B" w:rsidP="00D006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Calibri" w:hAnsi="Times New Roman" w:cs="Times New Roman"/>
          <w:kern w:val="0"/>
          <w:sz w:val="24"/>
          <w:szCs w:val="24"/>
          <w14:ligatures w14:val="none"/>
        </w:rPr>
      </w:pPr>
      <w:r w:rsidRPr="00D0065B">
        <w:rPr>
          <w:rFonts w:ascii="Times New Roman" w:eastAsia="Calibri" w:hAnsi="Times New Roman" w:cs="Times New Roman"/>
          <w:kern w:val="0"/>
          <w:sz w:val="24"/>
          <w:szCs w:val="24"/>
          <w14:ligatures w14:val="none"/>
        </w:rPr>
        <w:tab/>
        <w:t xml:space="preserve">The policymaker must have knowledge (actual or constructive) of the constitutional violation and actually approve of it. </w:t>
      </w:r>
      <w:r w:rsidRPr="00D0065B">
        <w:rPr>
          <w:rFonts w:ascii="Times New Roman" w:eastAsia="Calibri" w:hAnsi="Times New Roman" w:cs="Times New Roman"/>
          <w:i/>
          <w:iCs/>
          <w:kern w:val="0"/>
          <w:sz w:val="24"/>
          <w:szCs w:val="24"/>
          <w14:ligatures w14:val="none"/>
        </w:rPr>
        <w:t>Lytle</w:t>
      </w:r>
      <w:r w:rsidRPr="00D0065B">
        <w:rPr>
          <w:rFonts w:ascii="Times New Roman" w:eastAsia="Calibri" w:hAnsi="Times New Roman" w:cs="Times New Roman"/>
          <w:kern w:val="0"/>
          <w:sz w:val="24"/>
          <w:szCs w:val="24"/>
          <w14:ligatures w14:val="none"/>
        </w:rPr>
        <w:t xml:space="preserve">, 382 F.3d at 987; </w:t>
      </w:r>
      <w:r w:rsidRPr="00D0065B">
        <w:rPr>
          <w:rFonts w:ascii="Times New Roman" w:eastAsia="Calibri" w:hAnsi="Times New Roman" w:cs="Times New Roman"/>
          <w:i/>
          <w:iCs/>
          <w:kern w:val="0"/>
          <w:sz w:val="24"/>
          <w:szCs w:val="24"/>
          <w14:ligatures w14:val="none"/>
        </w:rPr>
        <w:t>Sabra</w:t>
      </w:r>
      <w:r w:rsidRPr="00D0065B">
        <w:rPr>
          <w:rFonts w:ascii="Times New Roman" w:eastAsia="Calibri" w:hAnsi="Times New Roman" w:cs="Times New Roman"/>
          <w:kern w:val="0"/>
          <w:sz w:val="24"/>
          <w:szCs w:val="24"/>
          <w14:ligatures w14:val="none"/>
        </w:rPr>
        <w:t xml:space="preserve">, 44 F.4th at 885. Ratification generally requires more than acquiescence. </w:t>
      </w:r>
      <w:r w:rsidRPr="00D0065B">
        <w:rPr>
          <w:rFonts w:ascii="Times New Roman" w:eastAsia="Calibri" w:hAnsi="Times New Roman" w:cs="Times New Roman"/>
          <w:i/>
          <w:iCs/>
          <w:kern w:val="0"/>
          <w:sz w:val="24"/>
          <w:szCs w:val="24"/>
          <w14:ligatures w14:val="none"/>
        </w:rPr>
        <w:t>Dodge</w:t>
      </w:r>
      <w:r w:rsidRPr="00D0065B">
        <w:rPr>
          <w:rFonts w:ascii="Times New Roman" w:eastAsia="Calibri" w:hAnsi="Times New Roman" w:cs="Times New Roman"/>
          <w:kern w:val="0"/>
          <w:sz w:val="24"/>
          <w:szCs w:val="24"/>
          <w14:ligatures w14:val="none"/>
        </w:rPr>
        <w:t xml:space="preserve">, 56 F.4th at 788 (“a mere failure to discipline . . . does not amount to ratification”). A mere failure to overrule a subordinate’s actions, without more, is insufficient to support a § 1983 ratification claim. </w:t>
      </w:r>
      <w:r w:rsidRPr="00D0065B">
        <w:rPr>
          <w:rFonts w:ascii="Times New Roman" w:eastAsia="Calibri" w:hAnsi="Times New Roman" w:cs="Times New Roman"/>
          <w:i/>
          <w:iCs/>
          <w:kern w:val="0"/>
          <w:sz w:val="24"/>
          <w:szCs w:val="24"/>
          <w14:ligatures w14:val="none"/>
        </w:rPr>
        <w:t>Lytle</w:t>
      </w:r>
      <w:r w:rsidRPr="00D0065B">
        <w:rPr>
          <w:rFonts w:ascii="Times New Roman" w:eastAsia="Calibri" w:hAnsi="Times New Roman" w:cs="Times New Roman"/>
          <w:kern w:val="0"/>
          <w:sz w:val="24"/>
          <w:szCs w:val="24"/>
          <w14:ligatures w14:val="none"/>
        </w:rPr>
        <w:t xml:space="preserve">, 382 F.3d at 987-88 (“[R]atification requires both knowledge of the alleged constitutional violation, and proof that the policymaker specifically approved of the subordinate’s act.”); </w:t>
      </w:r>
      <w:r w:rsidRPr="00D0065B">
        <w:rPr>
          <w:rFonts w:ascii="Times New Roman" w:eastAsia="Calibri" w:hAnsi="Times New Roman" w:cs="Times New Roman"/>
          <w:i/>
          <w:iCs/>
          <w:kern w:val="0"/>
          <w:sz w:val="24"/>
          <w:szCs w:val="24"/>
          <w14:ligatures w14:val="none"/>
        </w:rPr>
        <w:t>Christie</w:t>
      </w:r>
      <w:r w:rsidRPr="00D0065B">
        <w:rPr>
          <w:rFonts w:ascii="Times New Roman" w:eastAsia="Calibri" w:hAnsi="Times New Roman" w:cs="Times New Roman"/>
          <w:kern w:val="0"/>
          <w:sz w:val="24"/>
          <w:szCs w:val="24"/>
          <w14:ligatures w14:val="none"/>
        </w:rPr>
        <w:t xml:space="preserve">, 176 F.3d at 1239; </w:t>
      </w:r>
      <w:r w:rsidRPr="00D0065B">
        <w:rPr>
          <w:rFonts w:ascii="Times New Roman" w:eastAsia="Calibri" w:hAnsi="Times New Roman" w:cs="Times New Roman"/>
          <w:i/>
          <w:iCs/>
          <w:kern w:val="0"/>
          <w:sz w:val="24"/>
          <w:szCs w:val="24"/>
          <w14:ligatures w14:val="none"/>
        </w:rPr>
        <w:t>Puente v. City of Phoenix</w:t>
      </w:r>
      <w:r w:rsidRPr="00D0065B">
        <w:rPr>
          <w:rFonts w:ascii="Times New Roman" w:eastAsia="Calibri" w:hAnsi="Times New Roman" w:cs="Times New Roman"/>
          <w:kern w:val="0"/>
          <w:sz w:val="24"/>
          <w:szCs w:val="24"/>
          <w14:ligatures w14:val="none"/>
        </w:rPr>
        <w:t>, 123 F.4th 1035, 1066 (9th Cir. 2024) (rejecting a ratification argument absent evidence final policy maker “knew and approved” of a subordinate’s decision and the “basis for it”).</w:t>
      </w:r>
    </w:p>
    <w:p w14:paraId="5478239D" w14:textId="77777777" w:rsidR="00D0065B" w:rsidRPr="00D0065B" w:rsidRDefault="00D0065B" w:rsidP="00D006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Calibri" w:hAnsi="Times New Roman" w:cs="Times New Roman"/>
          <w:kern w:val="0"/>
          <w:sz w:val="24"/>
          <w:szCs w:val="24"/>
          <w14:ligatures w14:val="none"/>
        </w:rPr>
      </w:pPr>
      <w:r w:rsidRPr="00D0065B">
        <w:rPr>
          <w:rFonts w:ascii="Times New Roman" w:eastAsia="Calibri" w:hAnsi="Times New Roman" w:cs="Times New Roman"/>
          <w:kern w:val="0"/>
          <w:sz w:val="24"/>
          <w:szCs w:val="24"/>
          <w14:ligatures w14:val="none"/>
        </w:rPr>
        <w:tab/>
      </w:r>
      <w:r w:rsidRPr="00D0065B">
        <w:rPr>
          <w:rFonts w:ascii="Times New Roman" w:eastAsia="Calibri" w:hAnsi="Times New Roman" w:cs="Times New Roman"/>
          <w:kern w:val="0"/>
          <w:sz w:val="24"/>
          <w:szCs w:val="24"/>
          <w14:ligatures w14:val="none"/>
        </w:rPr>
        <w:tab/>
      </w:r>
      <w:r w:rsidRPr="00D0065B">
        <w:rPr>
          <w:rFonts w:ascii="Times New Roman" w:eastAsia="Calibri" w:hAnsi="Times New Roman" w:cs="Times New Roman"/>
          <w:kern w:val="0"/>
          <w:sz w:val="24"/>
          <w:szCs w:val="24"/>
          <w14:ligatures w14:val="none"/>
        </w:rPr>
        <w:tab/>
      </w:r>
      <w:r w:rsidRPr="00D0065B">
        <w:rPr>
          <w:rFonts w:ascii="Times New Roman" w:eastAsia="Calibri" w:hAnsi="Times New Roman" w:cs="Times New Roman"/>
          <w:kern w:val="0"/>
          <w:sz w:val="24"/>
          <w:szCs w:val="24"/>
          <w14:ligatures w14:val="none"/>
        </w:rPr>
        <w:tab/>
      </w:r>
      <w:r w:rsidRPr="00D0065B">
        <w:rPr>
          <w:rFonts w:ascii="Times New Roman" w:eastAsia="Calibri" w:hAnsi="Times New Roman" w:cs="Times New Roman"/>
          <w:kern w:val="0"/>
          <w:sz w:val="24"/>
          <w:szCs w:val="24"/>
          <w14:ligatures w14:val="none"/>
        </w:rPr>
        <w:tab/>
      </w:r>
      <w:r w:rsidRPr="00D0065B">
        <w:rPr>
          <w:rFonts w:ascii="Times New Roman" w:eastAsia="Calibri" w:hAnsi="Times New Roman" w:cs="Times New Roman"/>
          <w:kern w:val="0"/>
          <w:sz w:val="24"/>
          <w:szCs w:val="24"/>
          <w14:ligatures w14:val="none"/>
        </w:rPr>
        <w:tab/>
      </w:r>
      <w:r w:rsidRPr="00D0065B">
        <w:rPr>
          <w:rFonts w:ascii="Times New Roman" w:eastAsia="Calibri" w:hAnsi="Times New Roman" w:cs="Times New Roman"/>
          <w:kern w:val="0"/>
          <w:sz w:val="24"/>
          <w:szCs w:val="24"/>
          <w14:ligatures w14:val="none"/>
        </w:rPr>
        <w:tab/>
      </w:r>
      <w:r w:rsidRPr="00D0065B">
        <w:rPr>
          <w:rFonts w:ascii="Times New Roman" w:eastAsia="Calibri" w:hAnsi="Times New Roman" w:cs="Times New Roman"/>
          <w:kern w:val="0"/>
          <w:sz w:val="24"/>
          <w:szCs w:val="24"/>
          <w14:ligatures w14:val="none"/>
        </w:rPr>
        <w:tab/>
      </w:r>
      <w:r w:rsidRPr="00D0065B">
        <w:rPr>
          <w:rFonts w:ascii="Times New Roman" w:eastAsia="Calibri" w:hAnsi="Times New Roman" w:cs="Times New Roman"/>
          <w:kern w:val="0"/>
          <w:sz w:val="24"/>
          <w:szCs w:val="24"/>
          <w14:ligatures w14:val="none"/>
        </w:rPr>
        <w:tab/>
      </w:r>
    </w:p>
    <w:p w14:paraId="6AD969B0" w14:textId="1FFB3027" w:rsidR="00DC157E" w:rsidRDefault="00D0065B" w:rsidP="00D0065B">
      <w:pPr>
        <w:spacing w:after="0" w:line="240" w:lineRule="auto"/>
        <w:rPr>
          <w:rFonts w:ascii="Times New Roman" w:hAnsi="Times New Roman" w:cs="Times New Roman"/>
          <w:kern w:val="0"/>
          <w:sz w:val="24"/>
          <w:szCs w:val="24"/>
        </w:rPr>
      </w:pPr>
      <w:r w:rsidRPr="00D0065B">
        <w:rPr>
          <w:rFonts w:ascii="Times New Roman" w:eastAsia="Calibri" w:hAnsi="Times New Roman" w:cs="Times New Roman"/>
          <w:kern w:val="0"/>
          <w:sz w:val="24"/>
          <w:szCs w:val="24"/>
          <w14:ligatures w14:val="none"/>
        </w:rPr>
        <w:tab/>
        <w:t xml:space="preserve">The court must determine as a matter of state law whether certain employees or officials have the power to make official or final policy on a particular issue or subject area. </w:t>
      </w:r>
      <w:r w:rsidRPr="00D0065B">
        <w:rPr>
          <w:rFonts w:ascii="Times New Roman" w:eastAsia="Calibri" w:hAnsi="Times New Roman" w:cs="Times New Roman"/>
          <w:i/>
          <w:iCs/>
          <w:kern w:val="0"/>
          <w:sz w:val="24"/>
          <w:szCs w:val="24"/>
          <w14:ligatures w14:val="none"/>
        </w:rPr>
        <w:t>Jett</w:t>
      </w:r>
      <w:r w:rsidRPr="00D0065B">
        <w:rPr>
          <w:rFonts w:ascii="Times New Roman" w:eastAsia="Calibri" w:hAnsi="Times New Roman" w:cs="Times New Roman"/>
          <w:kern w:val="0"/>
          <w:sz w:val="24"/>
          <w:szCs w:val="24"/>
          <w14:ligatures w14:val="none"/>
        </w:rPr>
        <w:t xml:space="preserve"> </w:t>
      </w:r>
      <w:r w:rsidRPr="00D0065B">
        <w:rPr>
          <w:rFonts w:ascii="Times New Roman" w:eastAsia="Calibri" w:hAnsi="Times New Roman" w:cs="Times New Roman"/>
          <w:i/>
          <w:iCs/>
          <w:kern w:val="0"/>
          <w:sz w:val="24"/>
          <w:szCs w:val="24"/>
          <w14:ligatures w14:val="none"/>
        </w:rPr>
        <w:t>v. Dallas Indep. Sch. Dist</w:t>
      </w:r>
      <w:r w:rsidRPr="00D0065B">
        <w:rPr>
          <w:rFonts w:ascii="Times New Roman" w:eastAsia="Calibri" w:hAnsi="Times New Roman" w:cs="Times New Roman"/>
          <w:kern w:val="0"/>
          <w:sz w:val="24"/>
          <w:szCs w:val="24"/>
          <w14:ligatures w14:val="none"/>
        </w:rPr>
        <w:t xml:space="preserve">., 491 U.S. 701, 737-38 (1989); </w:t>
      </w:r>
      <w:r w:rsidRPr="00D0065B">
        <w:rPr>
          <w:rFonts w:ascii="Times New Roman" w:eastAsia="Calibri" w:hAnsi="Times New Roman" w:cs="Times New Roman"/>
          <w:i/>
          <w:iCs/>
          <w:kern w:val="0"/>
          <w:sz w:val="24"/>
          <w:szCs w:val="24"/>
          <w14:ligatures w14:val="none"/>
        </w:rPr>
        <w:t>see also</w:t>
      </w:r>
      <w:r w:rsidRPr="00D0065B">
        <w:rPr>
          <w:rFonts w:ascii="Times New Roman" w:eastAsia="Calibri" w:hAnsi="Times New Roman" w:cs="Times New Roman"/>
          <w:kern w:val="0"/>
          <w:sz w:val="24"/>
          <w:szCs w:val="24"/>
          <w14:ligatures w14:val="none"/>
        </w:rPr>
        <w:t xml:space="preserve"> </w:t>
      </w:r>
      <w:r w:rsidRPr="00D0065B">
        <w:rPr>
          <w:rFonts w:ascii="Times New Roman" w:eastAsia="Calibri" w:hAnsi="Times New Roman" w:cs="Times New Roman"/>
          <w:i/>
          <w:iCs/>
          <w:kern w:val="0"/>
          <w:sz w:val="24"/>
          <w:szCs w:val="24"/>
          <w14:ligatures w14:val="none"/>
        </w:rPr>
        <w:t xml:space="preserve">Lytle, </w:t>
      </w:r>
      <w:r w:rsidRPr="00D0065B">
        <w:rPr>
          <w:rFonts w:ascii="Times New Roman" w:eastAsia="Calibri" w:hAnsi="Times New Roman" w:cs="Times New Roman"/>
          <w:kern w:val="0"/>
          <w:sz w:val="24"/>
          <w:szCs w:val="24"/>
          <w14:ligatures w14:val="none"/>
        </w:rPr>
        <w:t>382 F.3d at 983 (“For a person to be a final policymaker, he or she must be in a position of authority such that a final decision by that person may appropriately be attributed to the [defendant public body].”)</w:t>
      </w:r>
      <w:r w:rsidRPr="00D0065B">
        <w:rPr>
          <w:rFonts w:ascii="Times New Roman" w:eastAsia="Calibri" w:hAnsi="Times New Roman" w:cs="Times New Roman"/>
          <w:i/>
          <w:iCs/>
          <w:kern w:val="0"/>
          <w:sz w:val="24"/>
          <w:szCs w:val="24"/>
          <w14:ligatures w14:val="none"/>
        </w:rPr>
        <w:t xml:space="preserve"> Sabra</w:t>
      </w:r>
      <w:r w:rsidRPr="00D0065B">
        <w:rPr>
          <w:rFonts w:ascii="Times New Roman" w:eastAsia="Calibri" w:hAnsi="Times New Roman" w:cs="Times New Roman"/>
          <w:kern w:val="0"/>
          <w:sz w:val="24"/>
          <w:szCs w:val="24"/>
          <w14:ligatures w14:val="none"/>
        </w:rPr>
        <w:t>, 44 F.4th at 885 (rejecting contention that “a professor becomes a ‘final policymaker’ for an entire community college district simply by assuming administrative responsibilities within his department”).</w:t>
      </w:r>
    </w:p>
    <w:p w14:paraId="486B8E37" w14:textId="5FDC06F4" w:rsidR="00DC157E" w:rsidRPr="00DC157E" w:rsidRDefault="00DC157E" w:rsidP="00DC157E">
      <w:pPr>
        <w:spacing w:after="0" w:line="240" w:lineRule="auto"/>
        <w:jc w:val="right"/>
        <w:rPr>
          <w:i/>
          <w:iCs/>
        </w:rPr>
      </w:pPr>
      <w:r w:rsidRPr="00DC157E">
        <w:rPr>
          <w:rFonts w:ascii="Times New Roman" w:hAnsi="Times New Roman" w:cs="Times New Roman"/>
          <w:i/>
          <w:iCs/>
          <w:kern w:val="0"/>
          <w:sz w:val="24"/>
          <w:szCs w:val="24"/>
        </w:rPr>
        <w:t xml:space="preserve">Revised </w:t>
      </w:r>
      <w:r w:rsidR="00FA769A">
        <w:rPr>
          <w:rFonts w:ascii="Times New Roman" w:hAnsi="Times New Roman" w:cs="Times New Roman"/>
          <w:i/>
          <w:iCs/>
          <w:kern w:val="0"/>
          <w:sz w:val="24"/>
          <w:szCs w:val="24"/>
        </w:rPr>
        <w:t>March 2025</w:t>
      </w:r>
    </w:p>
    <w:sectPr w:rsidR="00DC157E" w:rsidRPr="00DC1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E97"/>
    <w:rsid w:val="00010AB6"/>
    <w:rsid w:val="000D7CBB"/>
    <w:rsid w:val="001D4666"/>
    <w:rsid w:val="006E3187"/>
    <w:rsid w:val="007D6FBC"/>
    <w:rsid w:val="00837B60"/>
    <w:rsid w:val="00846641"/>
    <w:rsid w:val="00887257"/>
    <w:rsid w:val="00947EAB"/>
    <w:rsid w:val="00BE0F07"/>
    <w:rsid w:val="00D0065B"/>
    <w:rsid w:val="00D80361"/>
    <w:rsid w:val="00DC157E"/>
    <w:rsid w:val="00DE3AA1"/>
    <w:rsid w:val="00E93E97"/>
    <w:rsid w:val="00EE5FAA"/>
    <w:rsid w:val="00FA769A"/>
    <w:rsid w:val="00FE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76883"/>
  <w15:chartTrackingRefBased/>
  <w15:docId w15:val="{0A18D8EF-E1B0-4E7D-B6AC-E7217F827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C15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Aejung Yoon</cp:lastModifiedBy>
  <cp:revision>8</cp:revision>
  <dcterms:created xsi:type="dcterms:W3CDTF">2024-02-05T01:44:00Z</dcterms:created>
  <dcterms:modified xsi:type="dcterms:W3CDTF">2026-03-12T15:45:00Z</dcterms:modified>
</cp:coreProperties>
</file>